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A1B3" w14:textId="0CDD48EF" w:rsidR="00BC398F" w:rsidRPr="00BC398F" w:rsidRDefault="00440816" w:rsidP="00294BFE">
      <w:pPr>
        <w:pStyle w:val="HV-H1"/>
      </w:pPr>
      <w:bookmarkStart w:id="0" w:name="_Toc74307761"/>
      <w:r>
        <w:t xml:space="preserve">Impact to </w:t>
      </w:r>
      <w:r w:rsidR="002C1C0C" w:rsidRPr="00811BB4">
        <w:t>B</w:t>
      </w:r>
      <w:r w:rsidRPr="00811BB4">
        <w:t>uilding</w:t>
      </w:r>
      <w:r w:rsidR="008E53C6" w:rsidRPr="00811BB4">
        <w:t xml:space="preserve"> </w:t>
      </w:r>
      <w:r w:rsidR="002C1C0C" w:rsidRPr="00811BB4">
        <w:t>F</w:t>
      </w:r>
      <w:r w:rsidRPr="00811BB4">
        <w:t>ootings</w:t>
      </w:r>
    </w:p>
    <w:p w14:paraId="32B87EFB" w14:textId="0EB93CCB" w:rsidR="005E759F" w:rsidRPr="00991779" w:rsidRDefault="004411F6" w:rsidP="00991779">
      <w:pPr>
        <w:pStyle w:val="HV-H2"/>
      </w:pPr>
      <w:r w:rsidRPr="00A54C0A">
        <w:t xml:space="preserve">About this </w:t>
      </w:r>
      <w:bookmarkEnd w:id="0"/>
      <w:r w:rsidR="00B3282A" w:rsidRPr="00A54C0A">
        <w:t>technical note</w:t>
      </w:r>
    </w:p>
    <w:p w14:paraId="6B138151" w14:textId="181A7F18" w:rsidR="00440816" w:rsidRPr="000C4366" w:rsidRDefault="00440816" w:rsidP="00D836C0">
      <w:pPr>
        <w:pStyle w:val="HV-normal"/>
      </w:pPr>
      <w:r w:rsidRPr="006261C8">
        <w:t>This</w:t>
      </w:r>
      <w:r>
        <w:t xml:space="preserve"> </w:t>
      </w:r>
      <w:r w:rsidRPr="006261C8">
        <w:t>technical note was prepared by Joe Spano (</w:t>
      </w:r>
      <w:proofErr w:type="spellStart"/>
      <w:r w:rsidRPr="006261C8">
        <w:t>Ingegnaria</w:t>
      </w:r>
      <w:proofErr w:type="spellEnd"/>
      <w:r w:rsidRPr="006261C8">
        <w:t xml:space="preserve"> Consultants) in collaboration with Heritage Victoria in response to the 2022 Victorian floods. </w:t>
      </w:r>
    </w:p>
    <w:p w14:paraId="6B8FE5A1" w14:textId="6A802658" w:rsidR="00DB40C3" w:rsidRDefault="00440816" w:rsidP="00907245">
      <w:pPr>
        <w:pStyle w:val="HV-H3"/>
      </w:pPr>
      <w:r>
        <w:t xml:space="preserve">Building footing performance </w:t>
      </w:r>
    </w:p>
    <w:p w14:paraId="0B603A33" w14:textId="77777777" w:rsidR="00440816" w:rsidRPr="00440816" w:rsidRDefault="00440816" w:rsidP="00440816">
      <w:pPr>
        <w:pStyle w:val="HV-normal"/>
      </w:pPr>
      <w:bookmarkStart w:id="1" w:name="_Toc30502217"/>
      <w:bookmarkStart w:id="2" w:name="_Toc71621420"/>
      <w:r w:rsidRPr="00440816">
        <w:t xml:space="preserve">A building’s footings performance can have a severe impact on the performance of the building’s superstructure – walls in particular. Small-scale heritage buildings generally have low stiffness bluestone or rubble footings. Wall damage resulting from footing movements typically includes visual symptoms such as: </w:t>
      </w:r>
    </w:p>
    <w:p w14:paraId="5B364648" w14:textId="77777777" w:rsidR="00440816" w:rsidRDefault="00440816" w:rsidP="00440816">
      <w:pPr>
        <w:pStyle w:val="HV-list"/>
      </w:pPr>
      <w:bookmarkStart w:id="3" w:name="_Toc74307764"/>
      <w:bookmarkEnd w:id="1"/>
      <w:bookmarkEnd w:id="2"/>
      <w:r w:rsidRPr="0025101B">
        <w:t xml:space="preserve">cracking to brickwork, </w:t>
      </w:r>
    </w:p>
    <w:p w14:paraId="4C332F11" w14:textId="77777777" w:rsidR="00440816" w:rsidRDefault="00440816" w:rsidP="00440816">
      <w:pPr>
        <w:pStyle w:val="HV-list"/>
      </w:pPr>
      <w:r w:rsidRPr="0025101B">
        <w:t xml:space="preserve">out of level board claddings, </w:t>
      </w:r>
    </w:p>
    <w:p w14:paraId="62A18321" w14:textId="77777777" w:rsidR="00440816" w:rsidRDefault="00440816" w:rsidP="00440816">
      <w:pPr>
        <w:pStyle w:val="HV-list"/>
      </w:pPr>
      <w:r w:rsidRPr="0025101B">
        <w:t xml:space="preserve">wall leans and bulges, </w:t>
      </w:r>
    </w:p>
    <w:p w14:paraId="69306EAA" w14:textId="77777777" w:rsidR="00440816" w:rsidRDefault="00440816" w:rsidP="00440816">
      <w:pPr>
        <w:pStyle w:val="HV-list"/>
      </w:pPr>
      <w:r w:rsidRPr="0025101B">
        <w:t>windows and doors s</w:t>
      </w:r>
      <w:r w:rsidRPr="0025101B">
        <w:rPr>
          <w:rFonts w:ascii="Arial" w:eastAsia="Arial" w:hAnsi="Arial" w:cs="Arial"/>
        </w:rPr>
        <w:t>ti</w:t>
      </w:r>
      <w:r w:rsidRPr="0025101B">
        <w:t xml:space="preserve">cking, </w:t>
      </w:r>
    </w:p>
    <w:p w14:paraId="02125C42" w14:textId="77777777" w:rsidR="00440816" w:rsidRDefault="00440816" w:rsidP="00440816">
      <w:pPr>
        <w:pStyle w:val="HV-list"/>
      </w:pPr>
      <w:r w:rsidRPr="0025101B">
        <w:t xml:space="preserve">and glazing fractures. </w:t>
      </w:r>
    </w:p>
    <w:p w14:paraId="110E16E0" w14:textId="117A164D" w:rsidR="009960CB" w:rsidRDefault="009960CB" w:rsidP="005E1546">
      <w:pPr>
        <w:pStyle w:val="HV-normal"/>
      </w:pPr>
    </w:p>
    <w:p w14:paraId="624A2A48" w14:textId="77777777" w:rsidR="00440816" w:rsidRPr="00440816" w:rsidRDefault="00440816" w:rsidP="00440816">
      <w:pPr>
        <w:pStyle w:val="HV-normal"/>
      </w:pPr>
      <w:r w:rsidRPr="00440816">
        <w:t>Other superstructure damage because of poor footing performance typically includes floor and roof planes being distorted out of level, and resultant inappropriate falls to roof drainage gutters which in turn can lead to water ingress and more building fabric issues.</w:t>
      </w:r>
    </w:p>
    <w:p w14:paraId="52450577" w14:textId="77777777" w:rsidR="00440816" w:rsidRPr="00440816" w:rsidRDefault="00440816" w:rsidP="00440816">
      <w:pPr>
        <w:pStyle w:val="HV-normal"/>
      </w:pPr>
    </w:p>
    <w:p w14:paraId="13B65228" w14:textId="43911531" w:rsidR="00440816" w:rsidRDefault="00440816" w:rsidP="005E1546">
      <w:pPr>
        <w:pStyle w:val="HV-normal"/>
      </w:pPr>
      <w:r w:rsidRPr="00440816">
        <w:t>Flood events result in large volumes of water around the building, which depending on the time taken for these waters to recede, will impact on the moisture content in the ground. The slower the receding of the waters, the higher the in</w:t>
      </w:r>
      <w:r w:rsidRPr="00440816">
        <w:rPr>
          <w:rFonts w:ascii="Cambria Math" w:hAnsi="Cambria Math" w:cs="Cambria Math"/>
        </w:rPr>
        <w:t>‐</w:t>
      </w:r>
      <w:r w:rsidRPr="00440816">
        <w:t>ground moisture content is likely to be because of the flood. A rise in moisture content in the soils the building footings are founded on, or the development of a perched water table high in the ground, can lead to the following issues:</w:t>
      </w:r>
    </w:p>
    <w:p w14:paraId="35126A73" w14:textId="77777777" w:rsidR="001C1D46" w:rsidRPr="001C1D46" w:rsidRDefault="001C1D46" w:rsidP="001C1D46">
      <w:pPr>
        <w:pStyle w:val="HV-list"/>
      </w:pPr>
      <w:r w:rsidRPr="001C1D46">
        <w:t>Immediate – Decrease in structural properties of the founding soils due to saturation of soils – such as weakening of fine cohesive soils like silts and clays, settlement of fill or sand soils, liquefaction of soils. Buildings with footings seated on weakening soils can develop gross settlements locally or throughout the building.</w:t>
      </w:r>
    </w:p>
    <w:p w14:paraId="1E8A937F" w14:textId="77777777" w:rsidR="001C1D46" w:rsidRPr="001C1D46" w:rsidRDefault="001C1D46" w:rsidP="001C1D46">
      <w:pPr>
        <w:pStyle w:val="HV-list"/>
        <w:numPr>
          <w:ilvl w:val="0"/>
          <w:numId w:val="0"/>
        </w:numPr>
        <w:ind w:left="284"/>
      </w:pPr>
    </w:p>
    <w:p w14:paraId="4549412F" w14:textId="77777777" w:rsidR="001C1D46" w:rsidRPr="001C1D46" w:rsidRDefault="001C1D46" w:rsidP="001C1D46">
      <w:pPr>
        <w:pStyle w:val="HV-list"/>
      </w:pPr>
      <w:r w:rsidRPr="001C1D46">
        <w:t>Long term – Volume change in reactive clay soils which predominantly long term in a post flood scenario would include shrinkage of the soils due to the soils drying out and returning to their equilibrium moisture content. Footings seated in drying clay soils settle at various locations depending on the stiffness of the footings and other factors, or combination of factors, that are also impacting on the moisture content of the clay soils.</w:t>
      </w:r>
    </w:p>
    <w:p w14:paraId="4334BD64" w14:textId="77777777" w:rsidR="001C1D46" w:rsidRPr="00C22A47" w:rsidRDefault="001C1D46" w:rsidP="005E1546">
      <w:pPr>
        <w:pStyle w:val="HV-normal"/>
      </w:pPr>
    </w:p>
    <w:tbl>
      <w:tblPr>
        <w:tblStyle w:val="TableGrid"/>
        <w:tblW w:w="0" w:type="auto"/>
        <w:tblBorders>
          <w:top w:val="single" w:sz="4" w:space="0" w:color="133E62" w:themeColor="background2" w:themeShade="40"/>
          <w:left w:val="none" w:sz="0" w:space="0" w:color="auto"/>
          <w:bottom w:val="single" w:sz="4" w:space="0" w:color="133E62" w:themeColor="background2" w:themeShade="40"/>
          <w:right w:val="none" w:sz="0" w:space="0" w:color="auto"/>
          <w:insideH w:val="none" w:sz="0" w:space="0" w:color="auto"/>
          <w:insideV w:val="none" w:sz="0" w:space="0" w:color="auto"/>
        </w:tblBorders>
        <w:tblLook w:val="04A0" w:firstRow="1" w:lastRow="0" w:firstColumn="1" w:lastColumn="0" w:noHBand="0" w:noVBand="1"/>
      </w:tblPr>
      <w:tblGrid>
        <w:gridCol w:w="10762"/>
      </w:tblGrid>
      <w:tr w:rsidR="001C1D46" w14:paraId="6D0AE846" w14:textId="77777777" w:rsidTr="001C1D46">
        <w:tc>
          <w:tcPr>
            <w:tcW w:w="10762" w:type="dxa"/>
            <w:shd w:val="clear" w:color="auto" w:fill="E1EEF9" w:themeFill="background2"/>
          </w:tcPr>
          <w:bookmarkEnd w:id="3"/>
          <w:p w14:paraId="3CD907BE" w14:textId="6F32B54D" w:rsidR="001C1D46" w:rsidRDefault="001C1D46" w:rsidP="001C1D46">
            <w:pPr>
              <w:pStyle w:val="HV-normal"/>
            </w:pPr>
            <w:r w:rsidRPr="001C1D46">
              <w:t>Buildings with evidence of historical footing movement are likely to incur more damage post flood because of the ground saturation than buildings that have had little historic footing movement</w:t>
            </w:r>
          </w:p>
        </w:tc>
      </w:tr>
    </w:tbl>
    <w:p w14:paraId="00B8C347" w14:textId="77777777" w:rsidR="001C1D46" w:rsidRDefault="001C1D46" w:rsidP="007D4827">
      <w:pPr>
        <w:pStyle w:val="HV-H2"/>
      </w:pPr>
    </w:p>
    <w:p w14:paraId="3D1E620F" w14:textId="69E9B4F1" w:rsidR="0005011A" w:rsidRDefault="001C1D46" w:rsidP="007D4827">
      <w:pPr>
        <w:pStyle w:val="HV-H2"/>
      </w:pPr>
      <w:r>
        <w:t>Victorian climatic regions</w:t>
      </w:r>
    </w:p>
    <w:p w14:paraId="650F7742" w14:textId="480D93BD" w:rsidR="001C1D46" w:rsidRPr="000E6532" w:rsidRDefault="00B60AD0" w:rsidP="001C1D46">
      <w:pPr>
        <w:rPr>
          <w:sz w:val="24"/>
          <w:szCs w:val="24"/>
        </w:rPr>
      </w:pPr>
      <w:r>
        <w:br/>
      </w:r>
      <w:r w:rsidR="001C1D46" w:rsidRPr="000E6532">
        <w:rPr>
          <w:sz w:val="24"/>
          <w:szCs w:val="24"/>
        </w:rPr>
        <w:t>Regions in the northwest of Victoria (north and west of Stawell / Avoca / Castlemaine / Seymour / Euroa/ Wangara</w:t>
      </w:r>
      <w:r w:rsidR="001C1D46" w:rsidRPr="000E6532">
        <w:rPr>
          <w:rFonts w:ascii="Arial" w:eastAsia="Arial" w:hAnsi="Arial" w:cs="Arial"/>
          <w:sz w:val="24"/>
          <w:szCs w:val="24"/>
        </w:rPr>
        <w:t>tt</w:t>
      </w:r>
      <w:r w:rsidR="001C1D46" w:rsidRPr="000E6532">
        <w:rPr>
          <w:sz w:val="24"/>
          <w:szCs w:val="24"/>
        </w:rPr>
        <w:t>a), are defined to be in arid Clima</w:t>
      </w:r>
      <w:r w:rsidR="001C1D46" w:rsidRPr="000E6532">
        <w:rPr>
          <w:rFonts w:ascii="Arial" w:eastAsia="Arial" w:hAnsi="Arial" w:cs="Arial"/>
          <w:sz w:val="24"/>
          <w:szCs w:val="24"/>
        </w:rPr>
        <w:t>ti</w:t>
      </w:r>
      <w:r w:rsidR="001C1D46" w:rsidRPr="000E6532">
        <w:rPr>
          <w:sz w:val="24"/>
          <w:szCs w:val="24"/>
        </w:rPr>
        <w:t>c Zones 4 and 5 in AS2870 Residen</w:t>
      </w:r>
      <w:r w:rsidR="001C1D46" w:rsidRPr="000E6532">
        <w:rPr>
          <w:rFonts w:ascii="Arial" w:eastAsia="Arial" w:hAnsi="Arial" w:cs="Arial"/>
          <w:sz w:val="24"/>
          <w:szCs w:val="24"/>
        </w:rPr>
        <w:t>ti</w:t>
      </w:r>
      <w:r w:rsidR="001C1D46" w:rsidRPr="000E6532">
        <w:rPr>
          <w:sz w:val="24"/>
          <w:szCs w:val="24"/>
        </w:rPr>
        <w:t>al Slabs and Foo</w:t>
      </w:r>
      <w:r w:rsidR="001C1D46" w:rsidRPr="000E6532">
        <w:rPr>
          <w:rFonts w:ascii="Arial" w:eastAsia="Arial" w:hAnsi="Arial" w:cs="Arial"/>
          <w:sz w:val="24"/>
          <w:szCs w:val="24"/>
        </w:rPr>
        <w:t>ti</w:t>
      </w:r>
      <w:r w:rsidR="001C1D46" w:rsidRPr="000E6532">
        <w:rPr>
          <w:sz w:val="24"/>
          <w:szCs w:val="24"/>
        </w:rPr>
        <w:t>ngs Code. Deeper-seated movements of reac</w:t>
      </w:r>
      <w:r w:rsidR="001C1D46" w:rsidRPr="000E6532">
        <w:rPr>
          <w:rFonts w:ascii="Arial" w:eastAsia="Arial" w:hAnsi="Arial" w:cs="Arial"/>
          <w:sz w:val="24"/>
          <w:szCs w:val="24"/>
        </w:rPr>
        <w:t>ti</w:t>
      </w:r>
      <w:r w:rsidR="001C1D46" w:rsidRPr="000E6532">
        <w:rPr>
          <w:sz w:val="24"/>
          <w:szCs w:val="24"/>
        </w:rPr>
        <w:t xml:space="preserve">ve soils </w:t>
      </w:r>
      <w:r w:rsidR="002B6014" w:rsidRPr="000E6532">
        <w:rPr>
          <w:sz w:val="24"/>
          <w:szCs w:val="24"/>
        </w:rPr>
        <w:t>are</w:t>
      </w:r>
      <w:r w:rsidR="001C1D46" w:rsidRPr="000E6532">
        <w:rPr>
          <w:sz w:val="24"/>
          <w:szCs w:val="24"/>
        </w:rPr>
        <w:t xml:space="preserve"> expected in these areas than within the same type of reac</w:t>
      </w:r>
      <w:r w:rsidR="001C1D46" w:rsidRPr="000E6532">
        <w:rPr>
          <w:rFonts w:ascii="Arial" w:eastAsia="Arial" w:hAnsi="Arial" w:cs="Arial"/>
          <w:sz w:val="24"/>
          <w:szCs w:val="24"/>
        </w:rPr>
        <w:t>ti</w:t>
      </w:r>
      <w:r w:rsidR="001C1D46" w:rsidRPr="000E6532">
        <w:rPr>
          <w:sz w:val="24"/>
          <w:szCs w:val="24"/>
        </w:rPr>
        <w:t>ve clay soils in regions south of these areas with ‘normal’ Clima</w:t>
      </w:r>
      <w:r w:rsidR="001C1D46" w:rsidRPr="000E6532">
        <w:rPr>
          <w:rFonts w:ascii="Arial" w:eastAsia="Arial" w:hAnsi="Arial" w:cs="Arial"/>
          <w:sz w:val="24"/>
          <w:szCs w:val="24"/>
        </w:rPr>
        <w:t>ti</w:t>
      </w:r>
      <w:r w:rsidR="001C1D46" w:rsidRPr="000E6532">
        <w:rPr>
          <w:sz w:val="24"/>
          <w:szCs w:val="24"/>
        </w:rPr>
        <w:t>c Zones 1 to 3. The deeper-seated movements in the northwest are likely to result in more building movement par</w:t>
      </w:r>
      <w:r w:rsidR="001C1D46" w:rsidRPr="000E6532">
        <w:rPr>
          <w:rFonts w:ascii="Arial" w:eastAsia="Arial" w:hAnsi="Arial" w:cs="Arial"/>
          <w:sz w:val="24"/>
          <w:szCs w:val="24"/>
        </w:rPr>
        <w:t>ti</w:t>
      </w:r>
      <w:r w:rsidR="001C1D46" w:rsidRPr="000E6532">
        <w:rPr>
          <w:sz w:val="24"/>
          <w:szCs w:val="24"/>
        </w:rPr>
        <w:t>cularly with buildings that have shallow and / or bluestone or rubble low s</w:t>
      </w:r>
      <w:r w:rsidR="001C1D46" w:rsidRPr="000E6532">
        <w:rPr>
          <w:rFonts w:ascii="Arial" w:eastAsia="Arial" w:hAnsi="Arial" w:cs="Arial"/>
          <w:sz w:val="24"/>
          <w:szCs w:val="24"/>
        </w:rPr>
        <w:t>ti</w:t>
      </w:r>
      <w:r w:rsidR="001C1D46" w:rsidRPr="000E6532">
        <w:rPr>
          <w:sz w:val="24"/>
          <w:szCs w:val="24"/>
        </w:rPr>
        <w:t>ffness foo</w:t>
      </w:r>
      <w:r w:rsidR="001C1D46" w:rsidRPr="000E6532">
        <w:rPr>
          <w:rFonts w:ascii="Arial" w:eastAsia="Arial" w:hAnsi="Arial" w:cs="Arial"/>
          <w:sz w:val="24"/>
          <w:szCs w:val="24"/>
        </w:rPr>
        <w:t>ti</w:t>
      </w:r>
      <w:r w:rsidR="001C1D46" w:rsidRPr="000E6532">
        <w:rPr>
          <w:sz w:val="24"/>
          <w:szCs w:val="24"/>
        </w:rPr>
        <w:t>ngs.</w:t>
      </w:r>
    </w:p>
    <w:p w14:paraId="6894590C" w14:textId="1E291ECB" w:rsidR="00D44099" w:rsidRDefault="00D44099" w:rsidP="001C1D46"/>
    <w:p w14:paraId="2A8F07C5" w14:textId="57992BAA" w:rsidR="00D44099" w:rsidRPr="00E005DC" w:rsidRDefault="003E6C0C" w:rsidP="00D44099">
      <w:r>
        <w:t xml:space="preserve">      </w:t>
      </w:r>
      <w:r w:rsidR="00FE6AED">
        <w:t xml:space="preserve"> </w:t>
      </w:r>
      <w:r w:rsidR="002C1C0C">
        <w:t xml:space="preserve"> </w:t>
      </w:r>
      <w:r w:rsidR="00D44099">
        <w:rPr>
          <w:noProof/>
        </w:rPr>
        <w:drawing>
          <wp:inline distT="0" distB="0" distL="0" distR="0" wp14:anchorId="7EDBCBE8" wp14:editId="205CFAE0">
            <wp:extent cx="2454819" cy="1636470"/>
            <wp:effectExtent l="8890" t="0" r="0" b="0"/>
            <wp:docPr id="2" name="Picture 2" descr="Photograph along the side of the Rochester Court House, facing towards the main street, with trees along the property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graph along the side of the Rochester Court House, facing towards the main street, with trees along the property boundary."/>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473368" cy="1648835"/>
                    </a:xfrm>
                    <a:prstGeom prst="rect">
                      <a:avLst/>
                    </a:prstGeom>
                    <a:noFill/>
                    <a:ln>
                      <a:noFill/>
                    </a:ln>
                  </pic:spPr>
                </pic:pic>
              </a:graphicData>
            </a:graphic>
          </wp:inline>
        </w:drawing>
      </w:r>
      <w:r w:rsidR="002D2E61">
        <w:t xml:space="preserve">  </w:t>
      </w:r>
      <w:r w:rsidR="00D44099">
        <w:rPr>
          <w:noProof/>
        </w:rPr>
        <w:drawing>
          <wp:inline distT="0" distB="0" distL="0" distR="0" wp14:anchorId="5381F23F" wp14:editId="4A99280B">
            <wp:extent cx="4652175" cy="2459990"/>
            <wp:effectExtent l="0" t="0" r="0" b="0"/>
            <wp:docPr id="3" name="Picture 3" descr="Photograph of the Former Rochester Court House, with flood waters in the fore ground. Tall trees are shown on the neighbouring property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graph of the Former Rochester Court House, with flood waters in the fore ground. Tall trees are shown on the neighbouring property boundar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r="27113" b="35988"/>
                    <a:stretch/>
                  </pic:blipFill>
                  <pic:spPr bwMode="auto">
                    <a:xfrm>
                      <a:off x="0" y="0"/>
                      <a:ext cx="4655079" cy="246152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133E62" w:themeColor="background2" w:themeShade="40"/>
          <w:left w:val="none" w:sz="0" w:space="0" w:color="auto"/>
          <w:bottom w:val="single" w:sz="4" w:space="0" w:color="133E62" w:themeColor="background2" w:themeShade="40"/>
          <w:right w:val="none" w:sz="0" w:space="0" w:color="auto"/>
          <w:insideH w:val="none" w:sz="0" w:space="0" w:color="auto"/>
          <w:insideV w:val="none" w:sz="0" w:space="0" w:color="auto"/>
        </w:tblBorders>
        <w:tblLook w:val="04A0" w:firstRow="1" w:lastRow="0" w:firstColumn="1" w:lastColumn="0" w:noHBand="0" w:noVBand="1"/>
        <w:tblCaption w:val="Images showing buildings and flooding"/>
      </w:tblPr>
      <w:tblGrid>
        <w:gridCol w:w="10756"/>
      </w:tblGrid>
      <w:tr w:rsidR="001C1D46" w14:paraId="77AB1778" w14:textId="77777777" w:rsidTr="001C1D46">
        <w:tc>
          <w:tcPr>
            <w:tcW w:w="10756" w:type="dxa"/>
            <w:tcBorders>
              <w:top w:val="nil"/>
              <w:bottom w:val="nil"/>
            </w:tcBorders>
            <w:shd w:val="clear" w:color="auto" w:fill="F2F2F2" w:themeFill="background1" w:themeFillShade="F2"/>
          </w:tcPr>
          <w:p w14:paraId="18CC7B83" w14:textId="72310E86" w:rsidR="001C1D46" w:rsidRPr="001C1D46" w:rsidRDefault="00EF4060" w:rsidP="001C1D46">
            <w:pPr>
              <w:rPr>
                <w:color w:val="FFFFFF" w:themeColor="background1"/>
              </w:rPr>
            </w:pPr>
            <w:r>
              <w:t xml:space="preserve">Figure 1: </w:t>
            </w:r>
            <w:r w:rsidR="001C1D46" w:rsidRPr="001C1D46">
              <w:t>These trees are too close to the building for a site geology that was assessed to contain moderately reac</w:t>
            </w:r>
            <w:r w:rsidR="001C1D46" w:rsidRPr="001C1D46">
              <w:rPr>
                <w:rFonts w:ascii="Calibri" w:eastAsia="Calibri" w:hAnsi="Calibri" w:cs="Calibri"/>
              </w:rPr>
              <w:t>ti</w:t>
            </w:r>
            <w:r w:rsidR="001C1D46" w:rsidRPr="001C1D46">
              <w:t>ve clays with deep seated movements (Rochester Court House, VHR H1482).</w:t>
            </w:r>
          </w:p>
        </w:tc>
      </w:tr>
    </w:tbl>
    <w:p w14:paraId="44913157" w14:textId="798A7E26" w:rsidR="00B60AD0" w:rsidRPr="00C22A47" w:rsidRDefault="00B60AD0" w:rsidP="00B60AD0">
      <w:pPr>
        <w:pStyle w:val="HV-normal"/>
      </w:pPr>
    </w:p>
    <w:p w14:paraId="3EB75DE9" w14:textId="0F098B3F" w:rsidR="00B60AD0" w:rsidRDefault="008E4963" w:rsidP="00B60AD0">
      <w:pPr>
        <w:pStyle w:val="HV-normal"/>
      </w:pPr>
      <w:r>
        <w:t>R</w:t>
      </w:r>
      <w:r w:rsidR="00166FFB">
        <w:t>isk Management Cycle</w:t>
      </w:r>
    </w:p>
    <w:p w14:paraId="4FC3666E" w14:textId="22E700B0" w:rsidR="00684F5E" w:rsidRDefault="008E4963" w:rsidP="00B60AD0">
      <w:pPr>
        <w:pStyle w:val="HV-normal"/>
      </w:pPr>
      <w:r>
        <w:rPr>
          <w:noProof/>
        </w:rPr>
        <w:drawing>
          <wp:inline distT="0" distB="0" distL="0" distR="0" wp14:anchorId="13121238" wp14:editId="16A0769E">
            <wp:extent cx="3515105" cy="2449675"/>
            <wp:effectExtent l="0" t="0" r="0" b="8255"/>
            <wp:docPr id="89720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05541" name="Picture 8972055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7453" cy="2472218"/>
                    </a:xfrm>
                    <a:prstGeom prst="rect">
                      <a:avLst/>
                    </a:prstGeom>
                  </pic:spPr>
                </pic:pic>
              </a:graphicData>
            </a:graphic>
          </wp:inline>
        </w:drawing>
      </w:r>
    </w:p>
    <w:p w14:paraId="243231CA" w14:textId="40F3904D" w:rsidR="00D60C07" w:rsidRDefault="00EF4060">
      <w:pPr>
        <w:spacing w:before="0" w:after="160" w:line="259" w:lineRule="auto"/>
      </w:pPr>
      <w:r>
        <w:t xml:space="preserve">Figure 2: </w:t>
      </w:r>
      <w:r w:rsidR="008E4FBF">
        <w:t xml:space="preserve">Risk Management Cycle – </w:t>
      </w:r>
      <w:r w:rsidR="0003230B">
        <w:t>providing clarity to</w:t>
      </w:r>
      <w:r w:rsidR="008E4FBF">
        <w:t xml:space="preserve"> </w:t>
      </w:r>
      <w:r w:rsidR="00530297">
        <w:t>disaster</w:t>
      </w:r>
      <w:r w:rsidR="00014E13">
        <w:t xml:space="preserve"> </w:t>
      </w:r>
      <w:r w:rsidR="008E4FBF">
        <w:t>process</w:t>
      </w:r>
      <w:r w:rsidR="0003230B">
        <w:t>.</w:t>
      </w:r>
      <w:r w:rsidR="008E4FBF">
        <w:t xml:space="preserve"> </w:t>
      </w:r>
      <w:r w:rsidR="00D60C07">
        <w:br w:type="page"/>
      </w:r>
    </w:p>
    <w:p w14:paraId="66FCE73C" w14:textId="77777777" w:rsidR="00A10F88" w:rsidRDefault="00A10F88" w:rsidP="00A10F88">
      <w:pPr>
        <w:pStyle w:val="HV-list"/>
        <w:numPr>
          <w:ilvl w:val="0"/>
          <w:numId w:val="0"/>
        </w:numPr>
        <w:ind w:left="284" w:hanging="284"/>
        <w:rPr>
          <w:rFonts w:cstheme="minorHAnsi"/>
          <w:b/>
          <w:bCs/>
          <w:szCs w:val="24"/>
        </w:rPr>
      </w:pPr>
    </w:p>
    <w:p w14:paraId="0E6C40CA" w14:textId="3B9F3D3B" w:rsidR="00A10F88" w:rsidRDefault="00A10F88" w:rsidP="00A10F88">
      <w:pPr>
        <w:pStyle w:val="HV-list"/>
        <w:numPr>
          <w:ilvl w:val="0"/>
          <w:numId w:val="0"/>
        </w:numPr>
        <w:ind w:left="284" w:hanging="284"/>
        <w:rPr>
          <w:rFonts w:cstheme="minorHAnsi"/>
          <w:b/>
          <w:bCs/>
          <w:szCs w:val="24"/>
        </w:rPr>
      </w:pPr>
      <w:r>
        <w:rPr>
          <w:rFonts w:cstheme="minorHAnsi"/>
          <w:b/>
          <w:bCs/>
          <w:szCs w:val="24"/>
        </w:rPr>
        <w:t xml:space="preserve">Note: </w:t>
      </w:r>
    </w:p>
    <w:p w14:paraId="69FE2E37" w14:textId="77777777" w:rsidR="00A10F88" w:rsidRDefault="00A10F88" w:rsidP="00A10F88">
      <w:pPr>
        <w:pStyle w:val="HV-list"/>
        <w:numPr>
          <w:ilvl w:val="0"/>
          <w:numId w:val="22"/>
        </w:numPr>
        <w:rPr>
          <w:rFonts w:cstheme="minorHAnsi"/>
          <w:szCs w:val="24"/>
        </w:rPr>
      </w:pPr>
      <w:r>
        <w:rPr>
          <w:rFonts w:cstheme="minorHAnsi"/>
          <w:szCs w:val="24"/>
        </w:rPr>
        <w:t>Engage a heritage consultant to determine a scope of works.</w:t>
      </w:r>
    </w:p>
    <w:p w14:paraId="605BF0BE" w14:textId="3F966B92" w:rsidR="00AA1CFC" w:rsidRPr="00A10F88" w:rsidRDefault="00A10F88" w:rsidP="00D836C0">
      <w:pPr>
        <w:pStyle w:val="HV-list"/>
        <w:numPr>
          <w:ilvl w:val="0"/>
          <w:numId w:val="22"/>
        </w:numPr>
        <w:rPr>
          <w:rFonts w:cstheme="minorHAnsi"/>
          <w:szCs w:val="24"/>
        </w:rPr>
      </w:pPr>
      <w:r>
        <w:rPr>
          <w:rFonts w:cstheme="minorHAnsi"/>
          <w:szCs w:val="24"/>
        </w:rPr>
        <w:t>If your place is included in the Victorian Heritage Register or is an archaeological site, under the Heritage Act 2017 you are obligated to contact Heritage Victoria for a pre-application meeting before starting any works to apply for a permit or permit exemption.</w:t>
      </w:r>
    </w:p>
    <w:p w14:paraId="6AC3921F" w14:textId="7099B5B2" w:rsidR="004411F6" w:rsidRDefault="001C1D46" w:rsidP="00A10F88">
      <w:pPr>
        <w:pStyle w:val="HV-H2"/>
      </w:pPr>
      <w:r>
        <w:t xml:space="preserve">Risk management approach </w:t>
      </w:r>
      <w:r w:rsidR="00315725" w:rsidRPr="00A54C0A">
        <w:t xml:space="preserve"> </w:t>
      </w:r>
    </w:p>
    <w:tbl>
      <w:tblPr>
        <w:tblStyle w:val="DTPDefaulttable"/>
        <w:tblW w:w="5000" w:type="pct"/>
        <w:tblLook w:val="06A0" w:firstRow="1" w:lastRow="0" w:firstColumn="1" w:lastColumn="0" w:noHBand="1" w:noVBand="1"/>
      </w:tblPr>
      <w:tblGrid>
        <w:gridCol w:w="2127"/>
        <w:gridCol w:w="2126"/>
        <w:gridCol w:w="6519"/>
      </w:tblGrid>
      <w:tr w:rsidR="004411F6" w14:paraId="520F5421" w14:textId="77777777" w:rsidTr="009D0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C98D38" w14:textId="583E5D12" w:rsidR="004411F6" w:rsidRDefault="00902897" w:rsidP="009827C2">
            <w:pPr>
              <w:keepNext/>
              <w:keepLines/>
            </w:pPr>
            <w:bookmarkStart w:id="4" w:name="Title_SampleTable"/>
            <w:bookmarkEnd w:id="4"/>
            <w:r>
              <w:t>Stage</w:t>
            </w:r>
          </w:p>
        </w:tc>
        <w:tc>
          <w:tcPr>
            <w:tcW w:w="2126" w:type="dxa"/>
          </w:tcPr>
          <w:p w14:paraId="2E3B9501" w14:textId="223B430E"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Approach</w:t>
            </w:r>
          </w:p>
        </w:tc>
        <w:tc>
          <w:tcPr>
            <w:tcW w:w="6519" w:type="dxa"/>
          </w:tcPr>
          <w:p w14:paraId="3ED0245A" w14:textId="3212BC84" w:rsidR="004411F6" w:rsidRDefault="00902897" w:rsidP="009827C2">
            <w:pPr>
              <w:keepNext/>
              <w:keepLines/>
              <w:cnfStyle w:val="100000000000" w:firstRow="1" w:lastRow="0" w:firstColumn="0" w:lastColumn="0" w:oddVBand="0" w:evenVBand="0" w:oddHBand="0" w:evenHBand="0" w:firstRowFirstColumn="0" w:firstRowLastColumn="0" w:lastRowFirstColumn="0" w:lastRowLastColumn="0"/>
            </w:pPr>
            <w:r>
              <w:t>Strategies</w:t>
            </w:r>
          </w:p>
        </w:tc>
      </w:tr>
      <w:tr w:rsidR="004411F6" w14:paraId="028BDC39"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311B621C" w14:textId="7BE3DA00" w:rsidR="004411F6" w:rsidRDefault="001C1D46" w:rsidP="00794F82">
            <w:pPr>
              <w:pStyle w:val="HV-normal"/>
            </w:pPr>
            <w:r>
              <w:t>Prevention</w:t>
            </w:r>
            <w:r w:rsidR="00CF6FF9">
              <w:t xml:space="preserve"> </w:t>
            </w:r>
          </w:p>
        </w:tc>
        <w:tc>
          <w:tcPr>
            <w:tcW w:w="2126" w:type="dxa"/>
          </w:tcPr>
          <w:p w14:paraId="028FAA23" w14:textId="3EE3D165" w:rsidR="004411F6" w:rsidRDefault="001C1D46" w:rsidP="00794F82">
            <w:pPr>
              <w:pStyle w:val="HV-normal"/>
              <w:cnfStyle w:val="000000000000" w:firstRow="0" w:lastRow="0" w:firstColumn="0" w:lastColumn="0" w:oddVBand="0" w:evenVBand="0" w:oddHBand="0" w:evenHBand="0" w:firstRowFirstColumn="0" w:firstRowLastColumn="0" w:lastRowFirstColumn="0" w:lastRowLastColumn="0"/>
            </w:pPr>
            <w:r>
              <w:t>Investigate</w:t>
            </w:r>
          </w:p>
        </w:tc>
        <w:tc>
          <w:tcPr>
            <w:tcW w:w="6519" w:type="dxa"/>
          </w:tcPr>
          <w:p w14:paraId="5C7EABA6" w14:textId="1C518E72" w:rsidR="00CF6FF9" w:rsidRPr="00185031"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1C1D46">
              <w:t>Carry out a geotechnical investigation to establish existing building footing information – type of footings, depth of footings, type of founding soil, reactivity of founding soil, moisture content in founding soils at time of investigation, presence of non-soil material such as tree roots etc. Note buildings determined to be founded on or in fill soils will require structural intervention as soon as possible. Arrange for structural engineer to assess geotechnical investigation findings</w:t>
            </w:r>
          </w:p>
        </w:tc>
      </w:tr>
      <w:tr w:rsidR="00E24208" w14:paraId="33670C1F"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3A4E85A" w14:textId="77777777" w:rsidR="00E24208" w:rsidRDefault="00E24208" w:rsidP="00794F82">
            <w:pPr>
              <w:pStyle w:val="HV-normal"/>
            </w:pPr>
          </w:p>
        </w:tc>
        <w:tc>
          <w:tcPr>
            <w:tcW w:w="2126" w:type="dxa"/>
          </w:tcPr>
          <w:p w14:paraId="78729743" w14:textId="64460ADB" w:rsidR="00E24208" w:rsidRDefault="001C1D46" w:rsidP="00794F82">
            <w:pPr>
              <w:pStyle w:val="HV-normal"/>
              <w:cnfStyle w:val="000000000000" w:firstRow="0" w:lastRow="0" w:firstColumn="0" w:lastColumn="0" w:oddVBand="0" w:evenVBand="0" w:oddHBand="0" w:evenHBand="0" w:firstRowFirstColumn="0" w:firstRowLastColumn="0" w:lastRowFirstColumn="0" w:lastRowLastColumn="0"/>
            </w:pPr>
            <w:r>
              <w:t>Monitor</w:t>
            </w:r>
          </w:p>
        </w:tc>
        <w:tc>
          <w:tcPr>
            <w:tcW w:w="6519" w:type="dxa"/>
          </w:tcPr>
          <w:p w14:paraId="0BA7F85E" w14:textId="4ED1C754" w:rsidR="001C1D46"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EC7FB8">
              <w:t xml:space="preserve">Monitor building movement </w:t>
            </w:r>
            <w:r>
              <w:t>and</w:t>
            </w:r>
            <w:r w:rsidRPr="00EC7FB8">
              <w:t xml:space="preserve"> cracking for a period to see if the movement is con</w:t>
            </w:r>
            <w:r w:rsidRPr="00EC7FB8">
              <w:rPr>
                <w:rFonts w:eastAsia="Arial"/>
              </w:rPr>
              <w:t>ti</w:t>
            </w:r>
            <w:r w:rsidRPr="00EC7FB8">
              <w:t>nuing or stable. Note this monitoring can be done via surveying where the walls have significant lean movements or with proprietary wall markers such as Tell</w:t>
            </w:r>
            <w:r w:rsidRPr="00EC7FB8">
              <w:rPr>
                <w:rFonts w:ascii="Cambria Math" w:hAnsi="Cambria Math" w:cs="Cambria Math"/>
              </w:rPr>
              <w:t>‐</w:t>
            </w:r>
            <w:r w:rsidRPr="00EC7FB8">
              <w:t>Tails where the wall cracking is to be monitored. The la</w:t>
            </w:r>
            <w:r w:rsidRPr="00EC7FB8">
              <w:rPr>
                <w:rFonts w:eastAsia="Arial"/>
              </w:rPr>
              <w:t>tt</w:t>
            </w:r>
            <w:r w:rsidRPr="00EC7FB8">
              <w:t xml:space="preserve">er can be more crudely done with pencil lines drawn on the wall across the crack. These lines are to have a marked start and finish stroke and be measured at </w:t>
            </w:r>
            <w:r w:rsidRPr="00EC7FB8">
              <w:rPr>
                <w:rFonts w:eastAsia="Arial"/>
              </w:rPr>
              <w:t>ti</w:t>
            </w:r>
            <w:r w:rsidRPr="00EC7FB8">
              <w:t xml:space="preserve">me of first marking. The length </w:t>
            </w:r>
            <w:r>
              <w:t>and</w:t>
            </w:r>
            <w:r w:rsidRPr="00EC7FB8">
              <w:t xml:space="preserve"> the date the length was measured to be marked adjacent the line. Repeat measurements at intervals to similarly marked next to the original reference and the rela</w:t>
            </w:r>
            <w:r w:rsidRPr="00EC7FB8">
              <w:rPr>
                <w:rFonts w:eastAsia="Arial"/>
              </w:rPr>
              <w:t>ti</w:t>
            </w:r>
            <w:r w:rsidRPr="00EC7FB8">
              <w:t>ve movement can then be iden</w:t>
            </w:r>
            <w:r w:rsidRPr="00EC7FB8">
              <w:rPr>
                <w:rFonts w:eastAsia="Arial"/>
              </w:rPr>
              <w:t>ti</w:t>
            </w:r>
            <w:r w:rsidRPr="00EC7FB8">
              <w:t>fied.</w:t>
            </w:r>
            <w:r>
              <w:br/>
            </w:r>
          </w:p>
          <w:p w14:paraId="5F21EBFC" w14:textId="45EFD722" w:rsidR="00E24208" w:rsidRPr="00A44906"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8E1389">
              <w:t>Ensure all underground water carrying services are watertight. This is typically done by camera (CCTV) investigations and pressure tests.</w:t>
            </w:r>
          </w:p>
        </w:tc>
      </w:tr>
      <w:tr w:rsidR="002E115C" w14:paraId="78004E2D"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0083EFCB" w14:textId="55968CE1" w:rsidR="002E115C" w:rsidRDefault="002E115C" w:rsidP="00794F82">
            <w:pPr>
              <w:pStyle w:val="HV-normal"/>
            </w:pPr>
          </w:p>
        </w:tc>
        <w:tc>
          <w:tcPr>
            <w:tcW w:w="2126" w:type="dxa"/>
          </w:tcPr>
          <w:p w14:paraId="6092E316" w14:textId="507C8F69" w:rsidR="002E115C" w:rsidRDefault="001C1D46" w:rsidP="00794F82">
            <w:pPr>
              <w:pStyle w:val="HV-normal"/>
              <w:cnfStyle w:val="000000000000" w:firstRow="0" w:lastRow="0" w:firstColumn="0" w:lastColumn="0" w:oddVBand="0" w:evenVBand="0" w:oddHBand="0" w:evenHBand="0" w:firstRowFirstColumn="0" w:firstRowLastColumn="0" w:lastRowFirstColumn="0" w:lastRowLastColumn="0"/>
            </w:pPr>
            <w:r>
              <w:t>Checks and considerations</w:t>
            </w:r>
          </w:p>
        </w:tc>
        <w:tc>
          <w:tcPr>
            <w:tcW w:w="6519" w:type="dxa"/>
          </w:tcPr>
          <w:p w14:paraId="725F6D6F" w14:textId="353C381E" w:rsidR="001C1D46"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2F164B">
              <w:t xml:space="preserve">Ensure tree proximity to buildings complies with guidelines in </w:t>
            </w:r>
            <w:r w:rsidRPr="000C7946">
              <w:rPr>
                <w:i/>
                <w:iCs/>
              </w:rPr>
              <w:t>AS2870 Residen</w:t>
            </w:r>
            <w:r w:rsidRPr="000C7946">
              <w:rPr>
                <w:rFonts w:ascii="Arial" w:eastAsia="Arial" w:hAnsi="Arial" w:cs="Arial"/>
                <w:i/>
                <w:iCs/>
              </w:rPr>
              <w:t>ti</w:t>
            </w:r>
            <w:r w:rsidRPr="000C7946">
              <w:rPr>
                <w:i/>
                <w:iCs/>
              </w:rPr>
              <w:t xml:space="preserve">al and Slabs </w:t>
            </w:r>
            <w:r>
              <w:rPr>
                <w:i/>
                <w:iCs/>
              </w:rPr>
              <w:t>and</w:t>
            </w:r>
            <w:r w:rsidRPr="000C7946">
              <w:rPr>
                <w:i/>
                <w:iCs/>
              </w:rPr>
              <w:t xml:space="preserve"> Foo</w:t>
            </w:r>
            <w:r w:rsidRPr="000C7946">
              <w:rPr>
                <w:rFonts w:ascii="Arial" w:eastAsia="Arial" w:hAnsi="Arial" w:cs="Arial"/>
                <w:i/>
                <w:iCs/>
              </w:rPr>
              <w:t>ti</w:t>
            </w:r>
            <w:r w:rsidRPr="000C7946">
              <w:rPr>
                <w:i/>
                <w:iCs/>
              </w:rPr>
              <w:t xml:space="preserve">ngs Code </w:t>
            </w:r>
            <w:r w:rsidRPr="002F164B">
              <w:t>for the various types of reac</w:t>
            </w:r>
            <w:r>
              <w:rPr>
                <w:rFonts w:ascii="Arial" w:eastAsia="Arial" w:hAnsi="Arial" w:cs="Arial"/>
              </w:rPr>
              <w:t>ti</w:t>
            </w:r>
            <w:r w:rsidRPr="002F164B">
              <w:t>ve soils. Note this refers to all trees near the building</w:t>
            </w:r>
            <w:r>
              <w:t xml:space="preserve"> </w:t>
            </w:r>
            <w:r w:rsidRPr="002F164B">
              <w:t>and can include property and adjacent property trees. Trees that contravene the above guidelines to</w:t>
            </w:r>
            <w:r>
              <w:t xml:space="preserve"> </w:t>
            </w:r>
            <w:r w:rsidRPr="002F164B">
              <w:t>be removed OR isolated from the building with th</w:t>
            </w:r>
            <w:r>
              <w:t xml:space="preserve">e </w:t>
            </w:r>
            <w:r w:rsidRPr="002F164B">
              <w:t>installa</w:t>
            </w:r>
            <w:r>
              <w:rPr>
                <w:rFonts w:ascii="Arial" w:eastAsia="Arial" w:hAnsi="Arial" w:cs="Arial"/>
              </w:rPr>
              <w:t>ti</w:t>
            </w:r>
            <w:r w:rsidRPr="002F164B">
              <w:t>on of appropriate depth and plan extent</w:t>
            </w:r>
            <w:r>
              <w:t xml:space="preserve"> </w:t>
            </w:r>
            <w:r w:rsidRPr="002F164B">
              <w:t>root barriers.</w:t>
            </w:r>
            <w:r>
              <w:br/>
            </w:r>
          </w:p>
          <w:p w14:paraId="51F63F46" w14:textId="62419A08" w:rsidR="001C1D46"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8E1389">
              <w:lastRenderedPageBreak/>
              <w:t>Ensure site surface levels fall from the building and therefore will direct water posi</w:t>
            </w:r>
            <w:r>
              <w:rPr>
                <w:rFonts w:ascii="Arial" w:eastAsia="Arial" w:hAnsi="Arial" w:cs="Arial"/>
              </w:rPr>
              <w:t>ti</w:t>
            </w:r>
            <w:r w:rsidRPr="008E1389">
              <w:t>vely away from</w:t>
            </w:r>
            <w:r>
              <w:t xml:space="preserve"> </w:t>
            </w:r>
            <w:r w:rsidRPr="001211DF">
              <w:t>the external walls.</w:t>
            </w:r>
            <w:r>
              <w:br/>
            </w:r>
          </w:p>
          <w:p w14:paraId="7E1EA080" w14:textId="6EE63552" w:rsidR="002E115C" w:rsidRPr="00185031"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707094">
              <w:t>Consider apron paving around the perimeter of the building for masonry buildings with foo</w:t>
            </w:r>
            <w:r>
              <w:rPr>
                <w:rFonts w:ascii="Arial" w:eastAsia="Arial" w:hAnsi="Arial" w:cs="Arial"/>
              </w:rPr>
              <w:t>ti</w:t>
            </w:r>
            <w:r w:rsidRPr="00707094">
              <w:t>ngs</w:t>
            </w:r>
            <w:r>
              <w:t xml:space="preserve"> </w:t>
            </w:r>
            <w:r w:rsidRPr="00707094">
              <w:t>seated on highly to extremely reac</w:t>
            </w:r>
            <w:r>
              <w:rPr>
                <w:rFonts w:ascii="Arial" w:eastAsia="Arial" w:hAnsi="Arial" w:cs="Arial"/>
              </w:rPr>
              <w:t>ti</w:t>
            </w:r>
            <w:r w:rsidRPr="00707094">
              <w:t>ve clay soils. Note the aim of apron paving is to essen</w:t>
            </w:r>
            <w:r>
              <w:rPr>
                <w:rFonts w:ascii="Arial" w:eastAsia="Arial" w:hAnsi="Arial" w:cs="Arial"/>
              </w:rPr>
              <w:t>ti</w:t>
            </w:r>
            <w:r w:rsidRPr="00707094">
              <w:t>ally</w:t>
            </w:r>
            <w:r>
              <w:t xml:space="preserve"> </w:t>
            </w:r>
            <w:r w:rsidRPr="00707094">
              <w:t>create an umbrella over the soil mass that is suppor</w:t>
            </w:r>
            <w:r>
              <w:rPr>
                <w:rFonts w:ascii="Arial" w:eastAsia="Arial" w:hAnsi="Arial" w:cs="Arial"/>
              </w:rPr>
              <w:t>ti</w:t>
            </w:r>
            <w:r w:rsidRPr="00707094">
              <w:t>ng the building foo</w:t>
            </w:r>
            <w:r>
              <w:rPr>
                <w:rFonts w:ascii="Arial" w:eastAsia="Arial" w:hAnsi="Arial" w:cs="Arial"/>
              </w:rPr>
              <w:t>ti</w:t>
            </w:r>
            <w:r w:rsidRPr="00707094">
              <w:t>ngs and therefore minimi</w:t>
            </w:r>
            <w:r>
              <w:t>s</w:t>
            </w:r>
            <w:r w:rsidRPr="00707094">
              <w:t>e</w:t>
            </w:r>
            <w:r>
              <w:t xml:space="preserve"> </w:t>
            </w:r>
            <w:r w:rsidRPr="00707094">
              <w:t>moisture content changes due to seasonal moisture changes.</w:t>
            </w:r>
          </w:p>
        </w:tc>
      </w:tr>
      <w:tr w:rsidR="001755CC" w14:paraId="62157287"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8828DAD" w14:textId="461CCAFC" w:rsidR="001755CC" w:rsidRDefault="001C1D46" w:rsidP="00794F82">
            <w:pPr>
              <w:pStyle w:val="HV-normal"/>
            </w:pPr>
            <w:r>
              <w:lastRenderedPageBreak/>
              <w:t>Preparedness</w:t>
            </w:r>
          </w:p>
        </w:tc>
        <w:tc>
          <w:tcPr>
            <w:tcW w:w="2126" w:type="dxa"/>
          </w:tcPr>
          <w:p w14:paraId="3381DFD8" w14:textId="1F6B7E6E" w:rsidR="001755CC" w:rsidRDefault="001C1D46" w:rsidP="00794F82">
            <w:pPr>
              <w:pStyle w:val="HV-normal"/>
              <w:cnfStyle w:val="000000000000" w:firstRow="0" w:lastRow="0" w:firstColumn="0" w:lastColumn="0" w:oddVBand="0" w:evenVBand="0" w:oddHBand="0" w:evenHBand="0" w:firstRowFirstColumn="0" w:firstRowLastColumn="0" w:lastRowFirstColumn="0" w:lastRowLastColumn="0"/>
            </w:pPr>
            <w:r>
              <w:t>Awareness</w:t>
            </w:r>
          </w:p>
        </w:tc>
        <w:tc>
          <w:tcPr>
            <w:tcW w:w="6519" w:type="dxa"/>
          </w:tcPr>
          <w:p w14:paraId="52BA8A89" w14:textId="77777777" w:rsidR="001C1D46" w:rsidRPr="00E427AD"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E427AD">
              <w:t xml:space="preserve">Be aware of potential flooding and severe weather warnings. </w:t>
            </w:r>
          </w:p>
          <w:p w14:paraId="59619644" w14:textId="77777777" w:rsidR="001C1D46" w:rsidRDefault="001C1D46" w:rsidP="001C1D46">
            <w:pPr>
              <w:pStyle w:val="HV-list"/>
              <w:cnfStyle w:val="000000000000" w:firstRow="0" w:lastRow="0" w:firstColumn="0" w:lastColumn="0" w:oddVBand="0" w:evenVBand="0" w:oddHBand="0" w:evenHBand="0" w:firstRowFirstColumn="0" w:firstRowLastColumn="0" w:lastRowFirstColumn="0" w:lastRowLastColumn="0"/>
            </w:pPr>
            <w:r w:rsidRPr="003326D3">
              <w:t xml:space="preserve">Ensure site underground drainage and surface drainage inlets </w:t>
            </w:r>
            <w:r>
              <w:t>and</w:t>
            </w:r>
            <w:r w:rsidRPr="003326D3">
              <w:t xml:space="preserve"> outlets are in good workin</w:t>
            </w:r>
            <w:r>
              <w:t xml:space="preserve">g </w:t>
            </w:r>
            <w:r w:rsidRPr="003326D3">
              <w:t>condi</w:t>
            </w:r>
            <w:r>
              <w:t>ti</w:t>
            </w:r>
            <w:r w:rsidRPr="003326D3">
              <w:t xml:space="preserve">on and that any debris is removed. </w:t>
            </w:r>
          </w:p>
          <w:p w14:paraId="18752B93" w14:textId="4848C8FD" w:rsidR="001755CC" w:rsidRPr="006B7B14" w:rsidRDefault="001C1D46" w:rsidP="005237F0">
            <w:pPr>
              <w:pStyle w:val="ListBullet3"/>
              <w:cnfStyle w:val="000000000000" w:firstRow="0" w:lastRow="0" w:firstColumn="0" w:lastColumn="0" w:oddVBand="0" w:evenVBand="0" w:oddHBand="0" w:evenHBand="0" w:firstRowFirstColumn="0" w:firstRowLastColumn="0" w:lastRowFirstColumn="0" w:lastRowLastColumn="0"/>
            </w:pPr>
            <w:r w:rsidRPr="003326D3">
              <w:t>Note</w:t>
            </w:r>
            <w:r>
              <w:t>:</w:t>
            </w:r>
            <w:r w:rsidRPr="003326D3">
              <w:t xml:space="preserve"> </w:t>
            </w:r>
            <w:r>
              <w:t>T</w:t>
            </w:r>
            <w:r w:rsidRPr="003326D3">
              <w:t>his is not likely to impact on the extent of flooding</w:t>
            </w:r>
            <w:r>
              <w:t xml:space="preserve"> </w:t>
            </w:r>
            <w:r w:rsidRPr="003326D3">
              <w:t xml:space="preserve">but will improve the </w:t>
            </w:r>
            <w:r>
              <w:t>ti</w:t>
            </w:r>
            <w:r w:rsidRPr="003326D3">
              <w:t>me it takes for the flood waters to recede and allow subsequent rainfalls to be</w:t>
            </w:r>
            <w:r>
              <w:t xml:space="preserve"> </w:t>
            </w:r>
            <w:r w:rsidRPr="003326D3">
              <w:t>handled efficiently and effec</w:t>
            </w:r>
            <w:r>
              <w:t>ti</w:t>
            </w:r>
            <w:r w:rsidRPr="003326D3">
              <w:t>vely.</w:t>
            </w:r>
          </w:p>
        </w:tc>
      </w:tr>
      <w:tr w:rsidR="009174BB" w14:paraId="6CE47AE5"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14A87688" w14:textId="3A23E6E3" w:rsidR="009174BB" w:rsidRDefault="009F6DF4" w:rsidP="00794F82">
            <w:pPr>
              <w:pStyle w:val="HV-normal"/>
            </w:pPr>
            <w:r>
              <w:t>Response</w:t>
            </w:r>
          </w:p>
        </w:tc>
        <w:tc>
          <w:tcPr>
            <w:tcW w:w="2126" w:type="dxa"/>
          </w:tcPr>
          <w:p w14:paraId="1DD7F3DC" w14:textId="4DCC212E" w:rsidR="009174BB" w:rsidRDefault="009F6DF4" w:rsidP="00794F82">
            <w:pPr>
              <w:pStyle w:val="HV-normal"/>
              <w:cnfStyle w:val="000000000000" w:firstRow="0" w:lastRow="0" w:firstColumn="0" w:lastColumn="0" w:oddVBand="0" w:evenVBand="0" w:oddHBand="0" w:evenHBand="0" w:firstRowFirstColumn="0" w:firstRowLastColumn="0" w:lastRowFirstColumn="0" w:lastRowLastColumn="0"/>
            </w:pPr>
            <w:r>
              <w:t>Inspect</w:t>
            </w:r>
          </w:p>
        </w:tc>
        <w:tc>
          <w:tcPr>
            <w:tcW w:w="6519" w:type="dxa"/>
          </w:tcPr>
          <w:p w14:paraId="00B2F819" w14:textId="604D4CC6" w:rsidR="009174BB" w:rsidRPr="006B7B1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Check site drainage outlets are free from flood debris.</w:t>
            </w:r>
          </w:p>
        </w:tc>
      </w:tr>
      <w:tr w:rsidR="009174BB" w14:paraId="13B638E8"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275A51E1" w14:textId="3524D5CB" w:rsidR="009174BB" w:rsidRDefault="009F6DF4" w:rsidP="00794F82">
            <w:pPr>
              <w:pStyle w:val="HV-normal"/>
            </w:pPr>
            <w:r>
              <w:t xml:space="preserve">Recovery </w:t>
            </w:r>
          </w:p>
        </w:tc>
        <w:tc>
          <w:tcPr>
            <w:tcW w:w="2126" w:type="dxa"/>
          </w:tcPr>
          <w:p w14:paraId="4F03FBF4" w14:textId="0CCDD87C" w:rsidR="009174BB" w:rsidRDefault="009F6DF4" w:rsidP="00794F82">
            <w:pPr>
              <w:pStyle w:val="HV-normal"/>
              <w:cnfStyle w:val="000000000000" w:firstRow="0" w:lastRow="0" w:firstColumn="0" w:lastColumn="0" w:oddVBand="0" w:evenVBand="0" w:oddHBand="0" w:evenHBand="0" w:firstRowFirstColumn="0" w:firstRowLastColumn="0" w:lastRowFirstColumn="0" w:lastRowLastColumn="0"/>
            </w:pPr>
            <w:r>
              <w:t xml:space="preserve">Engage </w:t>
            </w:r>
          </w:p>
        </w:tc>
        <w:tc>
          <w:tcPr>
            <w:tcW w:w="6519" w:type="dxa"/>
          </w:tcPr>
          <w:p w14:paraId="36F591E8" w14:textId="77777777" w:rsidR="009F6DF4" w:rsidRPr="009F6DF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 xml:space="preserve">Engage a heritage professional to provide advice. </w:t>
            </w:r>
          </w:p>
          <w:p w14:paraId="05EB492D" w14:textId="77777777" w:rsidR="009F6DF4" w:rsidRPr="009F6DF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 xml:space="preserve">Engage a structural engineer to review the extent of damage to the structure and surrounds. </w:t>
            </w:r>
          </w:p>
          <w:p w14:paraId="2E62F94C" w14:textId="77777777" w:rsidR="009F6DF4" w:rsidRPr="009F6DF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In the unlikely event of gross settlements having occurred to the building, structural intervention maybe required such as localized underpinning. Arrange for structural engineer to assess the issue.</w:t>
            </w:r>
          </w:p>
          <w:p w14:paraId="2602AA0F" w14:textId="77777777" w:rsidR="009F6DF4" w:rsidRPr="009F6DF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Ensure underground site drainage and surface drainage inlets and outlets are free from flood debris.</w:t>
            </w:r>
          </w:p>
          <w:p w14:paraId="66E5A9F6" w14:textId="4F42C5EF" w:rsidR="009174BB" w:rsidRPr="006B7B1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Consult with Heritage Victoria to determine if a Heritage Permit or Permit Exemption is required to undertake these works.</w:t>
            </w:r>
          </w:p>
        </w:tc>
      </w:tr>
      <w:tr w:rsidR="009174BB" w14:paraId="0C1001B6" w14:textId="77777777" w:rsidTr="009D0291">
        <w:tc>
          <w:tcPr>
            <w:cnfStyle w:val="001000000000" w:firstRow="0" w:lastRow="0" w:firstColumn="1" w:lastColumn="0" w:oddVBand="0" w:evenVBand="0" w:oddHBand="0" w:evenHBand="0" w:firstRowFirstColumn="0" w:firstRowLastColumn="0" w:lastRowFirstColumn="0" w:lastRowLastColumn="0"/>
            <w:tcW w:w="2127" w:type="dxa"/>
          </w:tcPr>
          <w:p w14:paraId="575B3F60" w14:textId="77777777" w:rsidR="009174BB" w:rsidRDefault="009174BB" w:rsidP="00794F82">
            <w:pPr>
              <w:pStyle w:val="HV-normal"/>
            </w:pPr>
          </w:p>
        </w:tc>
        <w:tc>
          <w:tcPr>
            <w:tcW w:w="2126" w:type="dxa"/>
          </w:tcPr>
          <w:p w14:paraId="629B2F5F" w14:textId="1BD14F31" w:rsidR="009174BB" w:rsidRDefault="009F6DF4" w:rsidP="00794F82">
            <w:pPr>
              <w:pStyle w:val="HV-normal"/>
              <w:cnfStyle w:val="000000000000" w:firstRow="0" w:lastRow="0" w:firstColumn="0" w:lastColumn="0" w:oddVBand="0" w:evenVBand="0" w:oddHBand="0" w:evenHBand="0" w:firstRowFirstColumn="0" w:firstRowLastColumn="0" w:lastRowFirstColumn="0" w:lastRowLastColumn="0"/>
            </w:pPr>
            <w:r>
              <w:t>Resilience</w:t>
            </w:r>
          </w:p>
        </w:tc>
        <w:tc>
          <w:tcPr>
            <w:tcW w:w="6519" w:type="dxa"/>
          </w:tcPr>
          <w:p w14:paraId="3D74F66B" w14:textId="77777777" w:rsidR="009F6DF4" w:rsidRPr="009F6DF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Attend to Preparedness Items not having previously been addressed.</w:t>
            </w:r>
          </w:p>
          <w:p w14:paraId="7675461F" w14:textId="4B1E2CEE" w:rsidR="009174BB" w:rsidRPr="006B7B14" w:rsidRDefault="009F6DF4" w:rsidP="009F6DF4">
            <w:pPr>
              <w:pStyle w:val="HV-list"/>
              <w:cnfStyle w:val="000000000000" w:firstRow="0" w:lastRow="0" w:firstColumn="0" w:lastColumn="0" w:oddVBand="0" w:evenVBand="0" w:oddHBand="0" w:evenHBand="0" w:firstRowFirstColumn="0" w:firstRowLastColumn="0" w:lastRowFirstColumn="0" w:lastRowLastColumn="0"/>
            </w:pPr>
            <w:r w:rsidRPr="009F6DF4">
              <w:t>Review of the Disaster Management Cycle and efficacy of the emergency response will improve future flood response measures.</w:t>
            </w:r>
          </w:p>
        </w:tc>
      </w:tr>
    </w:tbl>
    <w:p w14:paraId="1B102A4E" w14:textId="3FD7DDD2" w:rsidR="008A67A6" w:rsidRPr="002A6022" w:rsidRDefault="008A67A6" w:rsidP="002A6022">
      <w:pPr>
        <w:tabs>
          <w:tab w:val="left" w:pos="1766"/>
        </w:tabs>
      </w:pPr>
      <w:bookmarkStart w:id="5" w:name="TitleRow_BandedRow"/>
      <w:bookmarkEnd w:id="5"/>
    </w:p>
    <w:sectPr w:rsidR="008A67A6" w:rsidRPr="002A6022" w:rsidSect="006A7C5B">
      <w:headerReference w:type="default" r:id="rId15"/>
      <w:footerReference w:type="default" r:id="rId16"/>
      <w:headerReference w:type="first" r:id="rId17"/>
      <w:footerReference w:type="first" r:id="rId18"/>
      <w:pgSz w:w="11906" w:h="16838" w:code="9"/>
      <w:pgMar w:top="567" w:right="567" w:bottom="567" w:left="567" w:header="141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95B96" w14:textId="77777777" w:rsidR="003E2076" w:rsidRDefault="003E2076" w:rsidP="00C37A29">
      <w:pPr>
        <w:spacing w:after="0"/>
      </w:pPr>
      <w:r>
        <w:separator/>
      </w:r>
    </w:p>
  </w:endnote>
  <w:endnote w:type="continuationSeparator" w:id="0">
    <w:p w14:paraId="6311BC71" w14:textId="77777777" w:rsidR="003E2076" w:rsidRDefault="003E2076" w:rsidP="00C37A29">
      <w:pPr>
        <w:spacing w:after="0"/>
      </w:pPr>
      <w:r>
        <w:continuationSeparator/>
      </w:r>
    </w:p>
  </w:endnote>
  <w:endnote w:type="continuationNotice" w:id="1">
    <w:p w14:paraId="056C2060" w14:textId="77777777" w:rsidR="003E2076" w:rsidRDefault="003E20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D6B2" w14:textId="219059F8" w:rsidR="000D7EE8" w:rsidRDefault="000D7EE8" w:rsidP="009C006B">
    <w:pPr>
      <w:pStyle w:val="Footer"/>
    </w:pPr>
  </w:p>
  <w:tbl>
    <w:tblPr>
      <w:tblStyle w:val="DTPFootertable"/>
      <w:tblW w:w="5000" w:type="pct"/>
      <w:tblLook w:val="05A0" w:firstRow="1" w:lastRow="0" w:firstColumn="1" w:lastColumn="1" w:noHBand="0" w:noVBand="1"/>
    </w:tblPr>
    <w:tblGrid>
      <w:gridCol w:w="666"/>
      <w:gridCol w:w="9483"/>
      <w:gridCol w:w="623"/>
    </w:tblGrid>
    <w:tr w:rsidR="004B7536" w14:paraId="58DA2299" w14:textId="77777777" w:rsidTr="008C22CA">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751C653E" w14:textId="77777777" w:rsidR="004B7536" w:rsidRDefault="004B7536" w:rsidP="009C006B">
          <w:pPr>
            <w:pStyle w:val="Footer"/>
          </w:pPr>
          <w:bookmarkStart w:id="12" w:name="Title_TableFooter"/>
          <w:bookmarkEnd w:id="12"/>
        </w:p>
      </w:tc>
      <w:tc>
        <w:tcPr>
          <w:tcW w:w="9483" w:type="dxa"/>
        </w:tcPr>
        <w:p w14:paraId="5D650205"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070B5575" w14:textId="77777777" w:rsidR="004B7536" w:rsidRDefault="004B7536" w:rsidP="009C006B">
          <w:pPr>
            <w:pStyle w:val="Footer"/>
          </w:pPr>
        </w:p>
      </w:tc>
    </w:tr>
    <w:tr w:rsidR="004B7536" w:rsidRPr="00F459F3" w14:paraId="7023973A" w14:textId="77777777" w:rsidTr="008C22CA">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436E3128" w14:textId="39D84B4C" w:rsidR="004B7536" w:rsidRDefault="00616F39" w:rsidP="009C006B">
          <w:pPr>
            <w:pStyle w:val="Footer"/>
          </w:pPr>
          <w:r>
            <w:rPr>
              <w:rStyle w:val="wacimagecontainer"/>
              <w:rFonts w:ascii="Segoe UI" w:hAnsi="Segoe UI" w:cs="Segoe UI"/>
              <w:noProof/>
              <w:color w:val="000000"/>
              <w:sz w:val="12"/>
              <w:szCs w:val="12"/>
            </w:rPr>
            <w:drawing>
              <wp:anchor distT="0" distB="0" distL="114300" distR="114300" simplePos="0" relativeHeight="251658244" behindDoc="0" locked="0" layoutInCell="1" allowOverlap="1" wp14:anchorId="3F6493EA" wp14:editId="2A1A6E51">
                <wp:simplePos x="0" y="0"/>
                <wp:positionH relativeFrom="margin">
                  <wp:posOffset>73572</wp:posOffset>
                </wp:positionH>
                <wp:positionV relativeFrom="page">
                  <wp:posOffset>-131489</wp:posOffset>
                </wp:positionV>
                <wp:extent cx="1064493" cy="578069"/>
                <wp:effectExtent l="0" t="0" r="2540" b="0"/>
                <wp:wrapNone/>
                <wp:docPr id="32"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312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7560A2BF" w14:textId="61E93E8A" w:rsidR="004B7536" w:rsidRPr="009C006B" w:rsidRDefault="0075650A"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Floods and heritage</w:t>
          </w:r>
          <w:r w:rsidR="006A77EE">
            <w:rPr>
              <w:rStyle w:val="Bold"/>
            </w:rPr>
            <w:t>: Building Footings</w:t>
          </w:r>
        </w:p>
        <w:sdt>
          <w:sdtPr>
            <w:alias w:val="Subject"/>
            <w:tag w:val=""/>
            <w:id w:val="244228787"/>
            <w:dataBinding w:prefixMappings="xmlns:ns0='http://purl.org/dc/elements/1.1/' xmlns:ns1='http://schemas.openxmlformats.org/package/2006/metadata/core-properties' " w:xpath="/ns1:coreProperties[1]/ns0:subject[1]" w:storeItemID="{6C3C8BC8-F283-45AE-878A-BAB7291924A1}"/>
            <w:text/>
          </w:sdtPr>
          <w:sdtContent>
            <w:p w14:paraId="175063B6" w14:textId="53B47C58" w:rsidR="004B7536" w:rsidRDefault="00440816" w:rsidP="009C006B">
              <w:pPr>
                <w:pStyle w:val="Footer"/>
                <w:cnfStyle w:val="000000000000" w:firstRow="0" w:lastRow="0" w:firstColumn="0" w:lastColumn="0" w:oddVBand="0" w:evenVBand="0" w:oddHBand="0" w:evenHBand="0" w:firstRowFirstColumn="0" w:firstRowLastColumn="0" w:lastRowFirstColumn="0" w:lastRowLastColumn="0"/>
              </w:pPr>
              <w:r>
                <w:t>Technical note 2 - 2024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020E0D5F"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06D823D" w14:textId="2157D335" w:rsidR="009C006B" w:rsidRPr="0042508F" w:rsidRDefault="008A742A" w:rsidP="009C006B">
    <w:pPr>
      <w:pStyle w:val="Footer"/>
    </w:pPr>
    <w:r>
      <w:rPr>
        <w:noProof/>
      </w:rPr>
      <mc:AlternateContent>
        <mc:Choice Requires="wps">
          <w:drawing>
            <wp:anchor distT="0" distB="0" distL="114300" distR="114300" simplePos="0" relativeHeight="251658240" behindDoc="0" locked="0" layoutInCell="0" allowOverlap="1" wp14:anchorId="756F3E93" wp14:editId="5968CABE">
              <wp:simplePos x="0" y="0"/>
              <wp:positionH relativeFrom="page">
                <wp:posOffset>40005</wp:posOffset>
              </wp:positionH>
              <wp:positionV relativeFrom="page">
                <wp:posOffset>10361599</wp:posOffset>
              </wp:positionV>
              <wp:extent cx="7560310" cy="273050"/>
              <wp:effectExtent l="0" t="0" r="0" b="12700"/>
              <wp:wrapNone/>
              <wp:docPr id="1" name="MSIPCM3a30414aa76e6b4e9fda298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F3E93" id="_x0000_t202" coordsize="21600,21600" o:spt="202" path="m,l,21600r21600,l21600,xe">
              <v:stroke joinstyle="miter"/>
              <v:path gradientshapeok="t" o:connecttype="rect"/>
            </v:shapetype>
            <v:shape id="MSIPCM3a30414aa76e6b4e9fda298a" o:spid="_x0000_s1026" type="#_x0000_t202" alt="&quot;&quot;" style="position:absolute;margin-left:3.15pt;margin-top:815.8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CUQs5TgAAAADAEAAA8AAABkcnMvZG93bnJldi54bWxMj01Pg0AQhu8m/ofNmPRmF2wD&#10;giyNsemliTFW43lhh4/CzhJ228K/dznpcd558s4z2W7SPbviaFtDAsJ1AAypNKqlWsD31+HxGZh1&#10;kpTsDaGAGS3s8vu7TKbK3OgTrydXM19CNpUCGueGlHNbNqilXZsBye8qM2rp/DjWXI3y5st1z5+C&#10;IOJatuQvNHLAtwbL7nTRArYfSVHxc6fP7/Nxntuu+tkXlRCrh+n1BZjDyf3BsOh7dci9U2EupCzr&#10;BUQbD/o42oQxsAUIkygBVixZvI2B5xn//0T+CwAA//8DAFBLAQItABQABgAIAAAAIQC2gziS/gAA&#10;AOEBAAATAAAAAAAAAAAAAAAAAAAAAABbQ29udGVudF9UeXBlc10ueG1sUEsBAi0AFAAGAAgAAAAh&#10;ADj9If/WAAAAlAEAAAsAAAAAAAAAAAAAAAAALwEAAF9yZWxzLy5yZWxzUEsBAi0AFAAGAAgAAAAh&#10;AOMgyvETAgAAJAQAAA4AAAAAAAAAAAAAAAAALgIAAGRycy9lMm9Eb2MueG1sUEsBAi0AFAAGAAgA&#10;AAAhACUQs5TgAAAADAEAAA8AAAAAAAAAAAAAAAAAbQQAAGRycy9kb3ducmV2LnhtbFBLBQYAAAAA&#10;BAAEAPMAAAB6BQAAAAA=&#10;" o:allowincell="f" filled="f" stroked="f" strokeweight=".5pt">
              <v:textbox inset=",0,,0">
                <w:txbxContent>
                  <w:p w14:paraId="27265DA4" w14:textId="6F9A4C93" w:rsidR="00895193" w:rsidRPr="00895193" w:rsidRDefault="00895193" w:rsidP="00895193">
                    <w:pPr>
                      <w:spacing w:before="0" w:after="0"/>
                      <w:jc w:val="center"/>
                      <w:rPr>
                        <w:rFonts w:ascii="Calibri" w:hAnsi="Calibri" w:cs="Calibri"/>
                        <w:color w:val="000000"/>
                        <w:sz w:val="24"/>
                      </w:rPr>
                    </w:pPr>
                    <w:r w:rsidRPr="00895193">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tblLook w:val="05A0" w:firstRow="1" w:lastRow="0" w:firstColumn="1" w:lastColumn="1" w:noHBand="0" w:noVBand="1"/>
    </w:tblPr>
    <w:tblGrid>
      <w:gridCol w:w="666"/>
      <w:gridCol w:w="9483"/>
      <w:gridCol w:w="623"/>
    </w:tblGrid>
    <w:tr w:rsidR="003B70E3" w14:paraId="0BEF09C9" w14:textId="77777777" w:rsidTr="00A5407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Pr>
        <w:p w14:paraId="384EAA3A" w14:textId="77777777" w:rsidR="003B70E3" w:rsidRDefault="003B70E3" w:rsidP="003B70E3">
          <w:pPr>
            <w:pStyle w:val="Footer"/>
          </w:pPr>
        </w:p>
      </w:tc>
      <w:tc>
        <w:tcPr>
          <w:tcW w:w="9483" w:type="dxa"/>
        </w:tcPr>
        <w:p w14:paraId="3CE546C4" w14:textId="77777777" w:rsidR="003B70E3" w:rsidRDefault="003B70E3" w:rsidP="003B70E3">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42D8A2EC" w14:textId="77777777" w:rsidR="003B70E3" w:rsidRDefault="003B70E3" w:rsidP="003B70E3">
          <w:pPr>
            <w:pStyle w:val="Footer"/>
          </w:pPr>
        </w:p>
      </w:tc>
    </w:tr>
    <w:tr w:rsidR="003B70E3" w:rsidRPr="00F459F3" w14:paraId="443C69B7" w14:textId="77777777" w:rsidTr="00A5407C">
      <w:trPr>
        <w:trHeight w:val="378"/>
      </w:trPr>
      <w:tc>
        <w:tcPr>
          <w:cnfStyle w:val="001000000000" w:firstRow="0" w:lastRow="0" w:firstColumn="1" w:lastColumn="0" w:oddVBand="0" w:evenVBand="0" w:oddHBand="0" w:evenHBand="0" w:firstRowFirstColumn="0" w:firstRowLastColumn="0" w:lastRowFirstColumn="0" w:lastRowLastColumn="0"/>
          <w:tcW w:w="666" w:type="dxa"/>
        </w:tcPr>
        <w:p w14:paraId="6C571386" w14:textId="77777777" w:rsidR="003B70E3" w:rsidRDefault="003B70E3" w:rsidP="003B70E3">
          <w:pPr>
            <w:pStyle w:val="Footer"/>
          </w:pPr>
          <w:r>
            <w:rPr>
              <w:rStyle w:val="wacimagecontainer"/>
              <w:rFonts w:ascii="Segoe UI" w:hAnsi="Segoe UI" w:cs="Segoe UI"/>
              <w:noProof/>
              <w:color w:val="000000"/>
              <w:sz w:val="12"/>
              <w:szCs w:val="12"/>
            </w:rPr>
            <w:drawing>
              <wp:anchor distT="0" distB="0" distL="114300" distR="114300" simplePos="0" relativeHeight="251658245" behindDoc="0" locked="0" layoutInCell="1" allowOverlap="1" wp14:anchorId="5CB06FBD" wp14:editId="65DAEF2E">
                <wp:simplePos x="0" y="0"/>
                <wp:positionH relativeFrom="margin">
                  <wp:posOffset>73572</wp:posOffset>
                </wp:positionH>
                <wp:positionV relativeFrom="page">
                  <wp:posOffset>-131489</wp:posOffset>
                </wp:positionV>
                <wp:extent cx="1064493" cy="578069"/>
                <wp:effectExtent l="0" t="0" r="2540" b="0"/>
                <wp:wrapNone/>
                <wp:docPr id="35" name="Picture 35"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6490"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493" cy="578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483" w:type="dxa"/>
        </w:tcPr>
        <w:p w14:paraId="6394DBA9" w14:textId="532FD9C9" w:rsidR="003B70E3" w:rsidRPr="009C006B" w:rsidRDefault="003B70E3" w:rsidP="003B70E3">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 xml:space="preserve">Floods and </w:t>
          </w:r>
          <w:r w:rsidR="00885A1B">
            <w:rPr>
              <w:rStyle w:val="Bold"/>
            </w:rPr>
            <w:t>H</w:t>
          </w:r>
          <w:r>
            <w:rPr>
              <w:rStyle w:val="Bold"/>
            </w:rPr>
            <w:t xml:space="preserve">eritage: </w:t>
          </w:r>
          <w:r w:rsidR="00885A1B">
            <w:rPr>
              <w:rStyle w:val="Bold"/>
            </w:rPr>
            <w:t>Building Footings</w:t>
          </w:r>
        </w:p>
        <w:sdt>
          <w:sdtPr>
            <w:alias w:val="Subject"/>
            <w:tag w:val=""/>
            <w:id w:val="144477346"/>
            <w:dataBinding w:prefixMappings="xmlns:ns0='http://purl.org/dc/elements/1.1/' xmlns:ns1='http://schemas.openxmlformats.org/package/2006/metadata/core-properties' " w:xpath="/ns1:coreProperties[1]/ns0:subject[1]" w:storeItemID="{6C3C8BC8-F283-45AE-878A-BAB7291924A1}"/>
            <w:text/>
          </w:sdtPr>
          <w:sdtContent>
            <w:p w14:paraId="60BBD675" w14:textId="646B3EB0" w:rsidR="003B70E3" w:rsidRDefault="00440816" w:rsidP="003B70E3">
              <w:pPr>
                <w:pStyle w:val="Footer"/>
                <w:cnfStyle w:val="000000000000" w:firstRow="0" w:lastRow="0" w:firstColumn="0" w:lastColumn="0" w:oddVBand="0" w:evenVBand="0" w:oddHBand="0" w:evenHBand="0" w:firstRowFirstColumn="0" w:firstRowLastColumn="0" w:lastRowFirstColumn="0" w:lastRowLastColumn="0"/>
              </w:pPr>
              <w:r>
                <w:t>Technical note 2 - 2024</w:t>
              </w:r>
            </w:p>
          </w:sdtContent>
        </w:sdt>
      </w:tc>
      <w:tc>
        <w:tcPr>
          <w:cnfStyle w:val="000100000000" w:firstRow="0" w:lastRow="0" w:firstColumn="0" w:lastColumn="1" w:oddVBand="0" w:evenVBand="0" w:oddHBand="0" w:evenHBand="0" w:firstRowFirstColumn="0" w:firstRowLastColumn="0" w:lastRowFirstColumn="0" w:lastRowLastColumn="0"/>
          <w:tcW w:w="623" w:type="dxa"/>
        </w:tcPr>
        <w:p w14:paraId="211F2E35" w14:textId="4E7DE6FF" w:rsidR="003B70E3" w:rsidRPr="00F459F3" w:rsidRDefault="006F572E" w:rsidP="006F572E">
          <w:pPr>
            <w:pStyle w:val="Footer"/>
            <w:jc w:val="center"/>
            <w:rPr>
              <w:rStyle w:val="Bold"/>
              <w:b/>
            </w:rPr>
          </w:pPr>
          <w:r>
            <w:t xml:space="preserve"> </w:t>
          </w:r>
          <w:r w:rsidR="003B70E3" w:rsidRPr="00F459F3">
            <w:t xml:space="preserve">Page </w:t>
          </w:r>
          <w:r w:rsidR="003B70E3" w:rsidRPr="00F459F3">
            <w:fldChar w:fldCharType="begin"/>
          </w:r>
          <w:r w:rsidR="003B70E3" w:rsidRPr="00F459F3">
            <w:instrText>PAGE   \* MERGEFORMAT</w:instrText>
          </w:r>
          <w:r w:rsidR="003B70E3" w:rsidRPr="00F459F3">
            <w:fldChar w:fldCharType="separate"/>
          </w:r>
          <w:r w:rsidR="003B70E3" w:rsidRPr="00F459F3">
            <w:rPr>
              <w:lang w:val="en-GB"/>
            </w:rPr>
            <w:t>1</w:t>
          </w:r>
          <w:r w:rsidR="003B70E3" w:rsidRPr="00F459F3">
            <w:fldChar w:fldCharType="end"/>
          </w:r>
        </w:p>
      </w:tc>
    </w:tr>
  </w:tbl>
  <w:p w14:paraId="018B85F6" w14:textId="77777777" w:rsidR="00616F39" w:rsidRPr="003B70E3" w:rsidRDefault="00616F39" w:rsidP="003B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FB09" w14:textId="77777777" w:rsidR="003E2076" w:rsidRDefault="003E2076" w:rsidP="00C37A29">
      <w:pPr>
        <w:spacing w:after="0"/>
      </w:pPr>
      <w:r>
        <w:separator/>
      </w:r>
    </w:p>
  </w:footnote>
  <w:footnote w:type="continuationSeparator" w:id="0">
    <w:p w14:paraId="7D5E66C8" w14:textId="77777777" w:rsidR="003E2076" w:rsidRDefault="003E2076" w:rsidP="00C37A29">
      <w:pPr>
        <w:spacing w:after="0"/>
      </w:pPr>
      <w:r>
        <w:continuationSeparator/>
      </w:r>
    </w:p>
  </w:footnote>
  <w:footnote w:type="continuationNotice" w:id="1">
    <w:p w14:paraId="129353DD" w14:textId="77777777" w:rsidR="003E2076" w:rsidRDefault="003E207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8284B" w14:textId="77777777" w:rsidR="00FE22FF" w:rsidRPr="004756F0" w:rsidRDefault="00FE22FF" w:rsidP="00FE22FF">
    <w:pPr>
      <w:pStyle w:val="BannerLogo"/>
      <w:framePr w:wrap="around"/>
    </w:pPr>
    <w:bookmarkStart w:id="6" w:name="_Hlk128719759"/>
    <w:bookmarkStart w:id="7" w:name="_Hlk128719760"/>
    <w:bookmarkStart w:id="8" w:name="_Hlk128720388"/>
    <w:bookmarkStart w:id="9" w:name="_Hlk128720389"/>
    <w:bookmarkStart w:id="10" w:name="_Hlk128721003"/>
    <w:bookmarkStart w:id="11" w:name="_Hlk128719542"/>
  </w:p>
  <w:bookmarkEnd w:id="6"/>
  <w:bookmarkEnd w:id="7"/>
  <w:bookmarkEnd w:id="8"/>
  <w:bookmarkEnd w:id="9"/>
  <w:bookmarkEnd w:id="10"/>
  <w:bookmarkEnd w:id="11"/>
  <w:p w14:paraId="05273BB0" w14:textId="79F1EBCD" w:rsidR="00425A85" w:rsidRPr="00E93188" w:rsidRDefault="00425A85" w:rsidP="00D15B30">
    <w:pPr>
      <w:pStyle w:val="Title"/>
      <w:framePr w:w="7856" w:vSpace="0" w:wrap="around" w:x="2966" w:y="545"/>
      <w:rPr>
        <w:color w:val="004C96"/>
        <w:sz w:val="32"/>
        <w:szCs w:val="32"/>
      </w:rPr>
    </w:pPr>
    <w:r w:rsidRPr="00E47224">
      <w:rPr>
        <w:color w:val="004C96"/>
        <w:sz w:val="32"/>
        <w:szCs w:val="32"/>
      </w:rPr>
      <w:t xml:space="preserve">Floods and </w:t>
    </w:r>
    <w:r w:rsidR="00706A9D">
      <w:rPr>
        <w:color w:val="004C96"/>
        <w:sz w:val="32"/>
        <w:szCs w:val="32"/>
      </w:rPr>
      <w:t>H</w:t>
    </w:r>
    <w:r w:rsidRPr="00E47224">
      <w:rPr>
        <w:color w:val="004C96"/>
        <w:sz w:val="32"/>
        <w:szCs w:val="32"/>
      </w:rPr>
      <w:t>eritage</w:t>
    </w:r>
    <w:r w:rsidRPr="00E93188">
      <w:rPr>
        <w:color w:val="004C96"/>
        <w:sz w:val="32"/>
        <w:szCs w:val="32"/>
      </w:rPr>
      <w:t xml:space="preserve">: </w:t>
    </w:r>
    <w:r w:rsidR="00D15B30" w:rsidRPr="00D15B30">
      <w:rPr>
        <w:color w:val="004C96"/>
        <w:sz w:val="32"/>
        <w:szCs w:val="32"/>
      </w:rPr>
      <w:t xml:space="preserve">Impact to </w:t>
    </w:r>
    <w:r w:rsidR="00706A9D">
      <w:rPr>
        <w:color w:val="004C96"/>
        <w:sz w:val="32"/>
        <w:szCs w:val="32"/>
      </w:rPr>
      <w:t>B</w:t>
    </w:r>
    <w:r w:rsidR="00D15B30" w:rsidRPr="00D15B30">
      <w:rPr>
        <w:color w:val="004C96"/>
        <w:sz w:val="32"/>
        <w:szCs w:val="32"/>
      </w:rPr>
      <w:t xml:space="preserve">uilding </w:t>
    </w:r>
    <w:r w:rsidR="006A77EE">
      <w:rPr>
        <w:color w:val="004C96"/>
        <w:sz w:val="32"/>
        <w:szCs w:val="32"/>
      </w:rPr>
      <w:t>F</w:t>
    </w:r>
    <w:r w:rsidR="00D15B30" w:rsidRPr="00D15B30">
      <w:rPr>
        <w:color w:val="004C96"/>
        <w:sz w:val="32"/>
        <w:szCs w:val="32"/>
      </w:rPr>
      <w:t>ootings</w:t>
    </w:r>
  </w:p>
  <w:sdt>
    <w:sdtPr>
      <w:rPr>
        <w:color w:val="004C96"/>
      </w:rPr>
      <w:alias w:val="Subject"/>
      <w:tag w:val=""/>
      <w:id w:val="-215275779"/>
      <w:placeholder>
        <w:docPart w:val="F24ADFBA3546444BB69416B30FA24187"/>
      </w:placeholder>
      <w:dataBinding w:prefixMappings="xmlns:ns0='http://purl.org/dc/elements/1.1/' xmlns:ns1='http://schemas.openxmlformats.org/package/2006/metadata/core-properties' " w:xpath="/ns1:coreProperties[1]/ns0:subject[1]" w:storeItemID="{6C3C8BC8-F283-45AE-878A-BAB7291924A1}"/>
      <w:text/>
    </w:sdtPr>
    <w:sdtContent>
      <w:p w14:paraId="4D2984BC" w14:textId="1FC11E49" w:rsidR="00425A85" w:rsidRPr="00E93188" w:rsidRDefault="00440816" w:rsidP="00D15B30">
        <w:pPr>
          <w:pStyle w:val="Subtitle"/>
          <w:framePr w:w="7856" w:vSpace="0" w:wrap="around" w:x="2966" w:y="545"/>
          <w:rPr>
            <w:color w:val="004C96"/>
          </w:rPr>
        </w:pPr>
        <w:r>
          <w:rPr>
            <w:color w:val="004C96"/>
          </w:rPr>
          <w:t>Technical note 2 - 2024</w:t>
        </w:r>
      </w:p>
    </w:sdtContent>
  </w:sdt>
  <w:p w14:paraId="0D4E9DAF" w14:textId="64EAA8A0" w:rsidR="00FD0FBF" w:rsidRPr="00A66161" w:rsidRDefault="00425A85" w:rsidP="00A66161">
    <w:pPr>
      <w:pStyle w:val="Header"/>
    </w:pPr>
    <w:r>
      <w:rPr>
        <w:rStyle w:val="wacimagecontainer"/>
        <w:rFonts w:ascii="Segoe UI" w:hAnsi="Segoe UI" w:cs="Segoe UI"/>
        <w:noProof/>
        <w:color w:val="000000"/>
        <w:sz w:val="12"/>
        <w:szCs w:val="12"/>
      </w:rPr>
      <w:drawing>
        <wp:anchor distT="0" distB="0" distL="114300" distR="114300" simplePos="0" relativeHeight="251658243" behindDoc="0" locked="0" layoutInCell="1" allowOverlap="1" wp14:anchorId="50E9F5E7" wp14:editId="6E860ED3">
          <wp:simplePos x="0" y="0"/>
          <wp:positionH relativeFrom="margin">
            <wp:posOffset>47728</wp:posOffset>
          </wp:positionH>
          <wp:positionV relativeFrom="page">
            <wp:posOffset>210065</wp:posOffset>
          </wp:positionV>
          <wp:extent cx="1342390" cy="728980"/>
          <wp:effectExtent l="0" t="0" r="0" b="0"/>
          <wp:wrapNone/>
          <wp:docPr id="31"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5321"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033D" w14:textId="5C3F4B33" w:rsidR="00CF6485" w:rsidRPr="00C95E3F" w:rsidRDefault="00CF6485" w:rsidP="008F1947">
    <w:pPr>
      <w:pStyle w:val="Title"/>
      <w:framePr w:w="8454" w:vSpace="0" w:wrap="around" w:x="2983" w:y="466"/>
      <w:rPr>
        <w:color w:val="004C96"/>
        <w:sz w:val="44"/>
        <w:szCs w:val="44"/>
      </w:rPr>
    </w:pPr>
    <w:r w:rsidRPr="00C95E3F">
      <w:rPr>
        <w:color w:val="004C96"/>
        <w:sz w:val="44"/>
        <w:szCs w:val="44"/>
      </w:rPr>
      <w:t xml:space="preserve">Floods and </w:t>
    </w:r>
    <w:r w:rsidR="00732952">
      <w:rPr>
        <w:color w:val="004C96"/>
        <w:sz w:val="44"/>
        <w:szCs w:val="44"/>
      </w:rPr>
      <w:t>H</w:t>
    </w:r>
    <w:r w:rsidRPr="00C95E3F">
      <w:rPr>
        <w:color w:val="004C96"/>
        <w:sz w:val="44"/>
        <w:szCs w:val="44"/>
      </w:rPr>
      <w:t xml:space="preserve">eritage: </w:t>
    </w:r>
    <w:r w:rsidR="00440816">
      <w:rPr>
        <w:color w:val="004C96"/>
        <w:sz w:val="44"/>
        <w:szCs w:val="44"/>
      </w:rPr>
      <w:t xml:space="preserve">Impact to </w:t>
    </w:r>
    <w:r w:rsidR="00732952">
      <w:rPr>
        <w:color w:val="004C96"/>
        <w:sz w:val="44"/>
        <w:szCs w:val="44"/>
      </w:rPr>
      <w:t>B</w:t>
    </w:r>
    <w:r w:rsidR="00440816">
      <w:rPr>
        <w:color w:val="004C96"/>
        <w:sz w:val="44"/>
        <w:szCs w:val="44"/>
      </w:rPr>
      <w:t xml:space="preserve">uilding </w:t>
    </w:r>
    <w:r w:rsidR="00732952">
      <w:rPr>
        <w:color w:val="004C96"/>
        <w:sz w:val="44"/>
        <w:szCs w:val="44"/>
      </w:rPr>
      <w:t>F</w:t>
    </w:r>
    <w:r w:rsidR="00440816">
      <w:rPr>
        <w:color w:val="004C96"/>
        <w:sz w:val="44"/>
        <w:szCs w:val="44"/>
      </w:rPr>
      <w:t>ootings</w:t>
    </w:r>
  </w:p>
  <w:sdt>
    <w:sdtPr>
      <w:rPr>
        <w:color w:val="004C96"/>
      </w:rPr>
      <w:alias w:val="Subject"/>
      <w:tag w:val=""/>
      <w:id w:val="-467208172"/>
      <w:placeholder>
        <w:docPart w:val="2594C32C6F054FA08353DB1D0B38B2C4"/>
      </w:placeholder>
      <w:dataBinding w:prefixMappings="xmlns:ns0='http://purl.org/dc/elements/1.1/' xmlns:ns1='http://schemas.openxmlformats.org/package/2006/metadata/core-properties' " w:xpath="/ns1:coreProperties[1]/ns0:subject[1]" w:storeItemID="{6C3C8BC8-F283-45AE-878A-BAB7291924A1}"/>
      <w:text/>
    </w:sdtPr>
    <w:sdtContent>
      <w:p w14:paraId="79D6032A" w14:textId="583C8624" w:rsidR="00CF6485" w:rsidRPr="00E93188" w:rsidRDefault="00840B4D" w:rsidP="008F1947">
        <w:pPr>
          <w:pStyle w:val="Subtitle"/>
          <w:framePr w:w="8454" w:vSpace="0" w:wrap="around" w:x="2983" w:y="466"/>
          <w:rPr>
            <w:color w:val="004C96"/>
          </w:rPr>
        </w:pPr>
        <w:r>
          <w:rPr>
            <w:color w:val="004C96"/>
          </w:rPr>
          <w:t xml:space="preserve">Technical </w:t>
        </w:r>
        <w:r w:rsidR="00440816">
          <w:rPr>
            <w:color w:val="004C96"/>
          </w:rPr>
          <w:t>note 2 - 2024</w:t>
        </w:r>
      </w:p>
    </w:sdtContent>
  </w:sdt>
  <w:p w14:paraId="5A736BA0" w14:textId="525C4432" w:rsidR="00D60C07" w:rsidRDefault="009A4DAB">
    <w:pPr>
      <w:pStyle w:val="Header"/>
    </w:pPr>
    <w:r>
      <w:rPr>
        <w:rStyle w:val="wacimagecontainer"/>
        <w:rFonts w:ascii="Segoe UI" w:hAnsi="Segoe UI" w:cs="Segoe UI"/>
        <w:noProof/>
        <w:color w:val="000000"/>
        <w:sz w:val="12"/>
        <w:szCs w:val="12"/>
      </w:rPr>
      <w:drawing>
        <wp:anchor distT="0" distB="0" distL="114300" distR="114300" simplePos="0" relativeHeight="251658242" behindDoc="0" locked="0" layoutInCell="1" allowOverlap="1" wp14:anchorId="09D8E238" wp14:editId="31EF537B">
          <wp:simplePos x="0" y="0"/>
          <wp:positionH relativeFrom="margin">
            <wp:align>left</wp:align>
          </wp:positionH>
          <wp:positionV relativeFrom="page">
            <wp:posOffset>123278</wp:posOffset>
          </wp:positionV>
          <wp:extent cx="1342752" cy="729049"/>
          <wp:effectExtent l="0" t="0" r="0" b="0"/>
          <wp:wrapNone/>
          <wp:docPr id="33" name="Picture 8" descr="Logo for Heritag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6" name="Picture 8" descr="Logo for Heritage Victor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752" cy="72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A7C">
      <w:rPr>
        <w:noProof/>
      </w:rPr>
      <w:drawing>
        <wp:anchor distT="0" distB="0" distL="114300" distR="114300" simplePos="0" relativeHeight="251658241" behindDoc="1" locked="0" layoutInCell="1" allowOverlap="1" wp14:anchorId="2CA61AC8" wp14:editId="01C7972E">
          <wp:simplePos x="0" y="0"/>
          <wp:positionH relativeFrom="column">
            <wp:posOffset>161925</wp:posOffset>
          </wp:positionH>
          <wp:positionV relativeFrom="paragraph">
            <wp:posOffset>-1537335</wp:posOffset>
          </wp:positionV>
          <wp:extent cx="778510" cy="422910"/>
          <wp:effectExtent l="0" t="0" r="2540" b="0"/>
          <wp:wrapNone/>
          <wp:docPr id="34" name="Picture 34" descr="Logo: Heritage Victoria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Heritage Victoria ">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510" cy="422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 w15:restartNumberingAfterBreak="0">
    <w:nsid w:val="116A42F1"/>
    <w:multiLevelType w:val="hybridMultilevel"/>
    <w:tmpl w:val="D2A2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9D4028"/>
    <w:multiLevelType w:val="hybridMultilevel"/>
    <w:tmpl w:val="1384E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474A23"/>
    <w:multiLevelType w:val="multilevel"/>
    <w:tmpl w:val="50041352"/>
    <w:numStyleLink w:val="ListHeadings"/>
  </w:abstractNum>
  <w:abstractNum w:abstractNumId="6" w15:restartNumberingAfterBreak="0">
    <w:nsid w:val="483439EA"/>
    <w:multiLevelType w:val="multilevel"/>
    <w:tmpl w:val="D97275E8"/>
    <w:numStyleLink w:val="Bullets"/>
  </w:abstractNum>
  <w:abstractNum w:abstractNumId="7" w15:restartNumberingAfterBreak="0">
    <w:nsid w:val="56955101"/>
    <w:multiLevelType w:val="hybridMultilevel"/>
    <w:tmpl w:val="B7862B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B73D84"/>
    <w:multiLevelType w:val="multilevel"/>
    <w:tmpl w:val="50041352"/>
    <w:numStyleLink w:val="ListHeadings"/>
  </w:abstractNum>
  <w:abstractNum w:abstractNumId="9" w15:restartNumberingAfterBreak="0">
    <w:nsid w:val="596A0C8C"/>
    <w:multiLevelType w:val="multilevel"/>
    <w:tmpl w:val="97DAEA0E"/>
    <w:numStyleLink w:val="Numbering"/>
  </w:abstractNum>
  <w:abstractNum w:abstractNumId="10" w15:restartNumberingAfterBreak="0">
    <w:nsid w:val="5A11181F"/>
    <w:multiLevelType w:val="hybridMultilevel"/>
    <w:tmpl w:val="1786F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E1502C"/>
    <w:multiLevelType w:val="multilevel"/>
    <w:tmpl w:val="D97275E8"/>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61361617"/>
    <w:multiLevelType w:val="multilevel"/>
    <w:tmpl w:val="0809001D"/>
    <w:styleLink w:val="HV-sublist"/>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5D207B8"/>
    <w:multiLevelType w:val="hybridMultilevel"/>
    <w:tmpl w:val="1ABAC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756090A"/>
    <w:multiLevelType w:val="hybridMultilevel"/>
    <w:tmpl w:val="FD1A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224907"/>
    <w:multiLevelType w:val="hybridMultilevel"/>
    <w:tmpl w:val="366642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03418277">
    <w:abstractNumId w:val="11"/>
  </w:num>
  <w:num w:numId="2" w16cid:durableId="846598071">
    <w:abstractNumId w:val="1"/>
  </w:num>
  <w:num w:numId="3" w16cid:durableId="659580476">
    <w:abstractNumId w:val="0"/>
  </w:num>
  <w:num w:numId="4" w16cid:durableId="1737582058">
    <w:abstractNumId w:val="9"/>
  </w:num>
  <w:num w:numId="5" w16cid:durableId="974717717">
    <w:abstractNumId w:val="8"/>
  </w:num>
  <w:num w:numId="6" w16cid:durableId="444039133">
    <w:abstractNumId w:val="3"/>
  </w:num>
  <w:num w:numId="7" w16cid:durableId="1680767902">
    <w:abstractNumId w:val="5"/>
  </w:num>
  <w:num w:numId="8" w16cid:durableId="1893927797">
    <w:abstractNumId w:val="6"/>
  </w:num>
  <w:num w:numId="9" w16cid:durableId="16084260">
    <w:abstractNumId w:val="10"/>
  </w:num>
  <w:num w:numId="10" w16cid:durableId="143398708">
    <w:abstractNumId w:val="6"/>
  </w:num>
  <w:num w:numId="11" w16cid:durableId="1082221728">
    <w:abstractNumId w:val="14"/>
  </w:num>
  <w:num w:numId="12" w16cid:durableId="1434782481">
    <w:abstractNumId w:val="4"/>
  </w:num>
  <w:num w:numId="13" w16cid:durableId="412973949">
    <w:abstractNumId w:val="6"/>
  </w:num>
  <w:num w:numId="14" w16cid:durableId="476266953">
    <w:abstractNumId w:val="6"/>
  </w:num>
  <w:num w:numId="15" w16cid:durableId="980042682">
    <w:abstractNumId w:val="2"/>
  </w:num>
  <w:num w:numId="16" w16cid:durableId="568614645">
    <w:abstractNumId w:val="7"/>
  </w:num>
  <w:num w:numId="17" w16cid:durableId="1127355579">
    <w:abstractNumId w:val="12"/>
  </w:num>
  <w:num w:numId="18" w16cid:durableId="58555875">
    <w:abstractNumId w:val="6"/>
  </w:num>
  <w:num w:numId="19" w16cid:durableId="2066564880">
    <w:abstractNumId w:val="13"/>
  </w:num>
  <w:num w:numId="20" w16cid:durableId="1506627327">
    <w:abstractNumId w:val="6"/>
  </w:num>
  <w:num w:numId="21" w16cid:durableId="2129396855">
    <w:abstractNumId w:val="6"/>
  </w:num>
  <w:num w:numId="22" w16cid:durableId="612444473">
    <w:abstractNumId w:val="15"/>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193"/>
    <w:rsid w:val="00003380"/>
    <w:rsid w:val="00014E13"/>
    <w:rsid w:val="00015277"/>
    <w:rsid w:val="00027052"/>
    <w:rsid w:val="000300AF"/>
    <w:rsid w:val="0003230B"/>
    <w:rsid w:val="000350FE"/>
    <w:rsid w:val="00043144"/>
    <w:rsid w:val="00044C18"/>
    <w:rsid w:val="0005011A"/>
    <w:rsid w:val="00050186"/>
    <w:rsid w:val="000724AE"/>
    <w:rsid w:val="0008037D"/>
    <w:rsid w:val="000A0248"/>
    <w:rsid w:val="000A1ED3"/>
    <w:rsid w:val="000A46D5"/>
    <w:rsid w:val="000A4E6A"/>
    <w:rsid w:val="000A7F41"/>
    <w:rsid w:val="000B2825"/>
    <w:rsid w:val="000B497F"/>
    <w:rsid w:val="000C4366"/>
    <w:rsid w:val="000D3097"/>
    <w:rsid w:val="000D7EE8"/>
    <w:rsid w:val="000E6532"/>
    <w:rsid w:val="000F50B3"/>
    <w:rsid w:val="000F7B45"/>
    <w:rsid w:val="00103CEB"/>
    <w:rsid w:val="00111868"/>
    <w:rsid w:val="00112E8F"/>
    <w:rsid w:val="00117A85"/>
    <w:rsid w:val="001258AA"/>
    <w:rsid w:val="001268BC"/>
    <w:rsid w:val="00141C61"/>
    <w:rsid w:val="00147108"/>
    <w:rsid w:val="00147C43"/>
    <w:rsid w:val="00152B3F"/>
    <w:rsid w:val="00157FB9"/>
    <w:rsid w:val="00166FFB"/>
    <w:rsid w:val="00170121"/>
    <w:rsid w:val="001755CC"/>
    <w:rsid w:val="00183343"/>
    <w:rsid w:val="00185031"/>
    <w:rsid w:val="001875B4"/>
    <w:rsid w:val="001A0D77"/>
    <w:rsid w:val="001A5586"/>
    <w:rsid w:val="001B190C"/>
    <w:rsid w:val="001C1D46"/>
    <w:rsid w:val="001C1E4D"/>
    <w:rsid w:val="001C7835"/>
    <w:rsid w:val="001D316A"/>
    <w:rsid w:val="001D58B0"/>
    <w:rsid w:val="001E4C19"/>
    <w:rsid w:val="001F13C1"/>
    <w:rsid w:val="001F37B8"/>
    <w:rsid w:val="001F446D"/>
    <w:rsid w:val="001F56C7"/>
    <w:rsid w:val="001F6314"/>
    <w:rsid w:val="00200507"/>
    <w:rsid w:val="002068CA"/>
    <w:rsid w:val="00221AB7"/>
    <w:rsid w:val="00224369"/>
    <w:rsid w:val="002300F6"/>
    <w:rsid w:val="00246435"/>
    <w:rsid w:val="00246BCF"/>
    <w:rsid w:val="0025428C"/>
    <w:rsid w:val="00256723"/>
    <w:rsid w:val="00263304"/>
    <w:rsid w:val="00270834"/>
    <w:rsid w:val="00271BE0"/>
    <w:rsid w:val="002814E6"/>
    <w:rsid w:val="00294BFE"/>
    <w:rsid w:val="002965C0"/>
    <w:rsid w:val="002A6022"/>
    <w:rsid w:val="002B6014"/>
    <w:rsid w:val="002C1C0C"/>
    <w:rsid w:val="002D2E61"/>
    <w:rsid w:val="002E0EDA"/>
    <w:rsid w:val="002E115C"/>
    <w:rsid w:val="002E7A9E"/>
    <w:rsid w:val="002F76CB"/>
    <w:rsid w:val="00305171"/>
    <w:rsid w:val="00311035"/>
    <w:rsid w:val="00315725"/>
    <w:rsid w:val="00324943"/>
    <w:rsid w:val="003341C3"/>
    <w:rsid w:val="0034680A"/>
    <w:rsid w:val="00363FF8"/>
    <w:rsid w:val="003657EF"/>
    <w:rsid w:val="00374847"/>
    <w:rsid w:val="0037721D"/>
    <w:rsid w:val="0038102A"/>
    <w:rsid w:val="00383AD6"/>
    <w:rsid w:val="0039045E"/>
    <w:rsid w:val="0039421E"/>
    <w:rsid w:val="00397728"/>
    <w:rsid w:val="003A5A63"/>
    <w:rsid w:val="003B2396"/>
    <w:rsid w:val="003B70E3"/>
    <w:rsid w:val="003D23A3"/>
    <w:rsid w:val="003D3729"/>
    <w:rsid w:val="003D5856"/>
    <w:rsid w:val="003E2076"/>
    <w:rsid w:val="003E6C0C"/>
    <w:rsid w:val="003E7563"/>
    <w:rsid w:val="003F5C53"/>
    <w:rsid w:val="00402769"/>
    <w:rsid w:val="00402AF7"/>
    <w:rsid w:val="00404E4F"/>
    <w:rsid w:val="00412CDA"/>
    <w:rsid w:val="0041673A"/>
    <w:rsid w:val="0042339A"/>
    <w:rsid w:val="0042508F"/>
    <w:rsid w:val="00425A85"/>
    <w:rsid w:val="004334B2"/>
    <w:rsid w:val="0043475F"/>
    <w:rsid w:val="00440816"/>
    <w:rsid w:val="004411F6"/>
    <w:rsid w:val="0045287B"/>
    <w:rsid w:val="00462FC5"/>
    <w:rsid w:val="004635FD"/>
    <w:rsid w:val="00472AA7"/>
    <w:rsid w:val="004B609E"/>
    <w:rsid w:val="004B7536"/>
    <w:rsid w:val="004D028A"/>
    <w:rsid w:val="004D0322"/>
    <w:rsid w:val="004D12AF"/>
    <w:rsid w:val="004E0833"/>
    <w:rsid w:val="004E28C6"/>
    <w:rsid w:val="004F138F"/>
    <w:rsid w:val="00500C61"/>
    <w:rsid w:val="0050176F"/>
    <w:rsid w:val="00502144"/>
    <w:rsid w:val="00503BE6"/>
    <w:rsid w:val="0050670B"/>
    <w:rsid w:val="00510D22"/>
    <w:rsid w:val="005141E8"/>
    <w:rsid w:val="00521461"/>
    <w:rsid w:val="00521A7C"/>
    <w:rsid w:val="005234D3"/>
    <w:rsid w:val="005237F0"/>
    <w:rsid w:val="005259E6"/>
    <w:rsid w:val="005301E3"/>
    <w:rsid w:val="00530297"/>
    <w:rsid w:val="005328D8"/>
    <w:rsid w:val="00534D4F"/>
    <w:rsid w:val="00550C99"/>
    <w:rsid w:val="00553413"/>
    <w:rsid w:val="00556AE3"/>
    <w:rsid w:val="00560EDB"/>
    <w:rsid w:val="00561527"/>
    <w:rsid w:val="00570BF6"/>
    <w:rsid w:val="00573BB3"/>
    <w:rsid w:val="00577E2E"/>
    <w:rsid w:val="0058369E"/>
    <w:rsid w:val="00593314"/>
    <w:rsid w:val="00594496"/>
    <w:rsid w:val="005C29A1"/>
    <w:rsid w:val="005C6618"/>
    <w:rsid w:val="005C6BFA"/>
    <w:rsid w:val="005E1546"/>
    <w:rsid w:val="005E32D8"/>
    <w:rsid w:val="005E759F"/>
    <w:rsid w:val="00602C13"/>
    <w:rsid w:val="00603FD5"/>
    <w:rsid w:val="00606728"/>
    <w:rsid w:val="00611F4C"/>
    <w:rsid w:val="00616DC8"/>
    <w:rsid w:val="00616F39"/>
    <w:rsid w:val="006229FB"/>
    <w:rsid w:val="0064570B"/>
    <w:rsid w:val="006532F6"/>
    <w:rsid w:val="00660644"/>
    <w:rsid w:val="006664D5"/>
    <w:rsid w:val="0067014A"/>
    <w:rsid w:val="00681258"/>
    <w:rsid w:val="00681EF5"/>
    <w:rsid w:val="00684F5E"/>
    <w:rsid w:val="00685F58"/>
    <w:rsid w:val="0068724F"/>
    <w:rsid w:val="00691240"/>
    <w:rsid w:val="00693358"/>
    <w:rsid w:val="006A1DEF"/>
    <w:rsid w:val="006A4640"/>
    <w:rsid w:val="006A4C4B"/>
    <w:rsid w:val="006A77EE"/>
    <w:rsid w:val="006A7C5B"/>
    <w:rsid w:val="006B3887"/>
    <w:rsid w:val="006B7B14"/>
    <w:rsid w:val="006C0963"/>
    <w:rsid w:val="006C4AF4"/>
    <w:rsid w:val="006C59B8"/>
    <w:rsid w:val="006D3F2F"/>
    <w:rsid w:val="006E3536"/>
    <w:rsid w:val="006F5547"/>
    <w:rsid w:val="006F572E"/>
    <w:rsid w:val="0070342B"/>
    <w:rsid w:val="00706A9D"/>
    <w:rsid w:val="00714488"/>
    <w:rsid w:val="007251DF"/>
    <w:rsid w:val="007254A7"/>
    <w:rsid w:val="00732952"/>
    <w:rsid w:val="00746331"/>
    <w:rsid w:val="0075650A"/>
    <w:rsid w:val="00770C59"/>
    <w:rsid w:val="00785C53"/>
    <w:rsid w:val="00792F12"/>
    <w:rsid w:val="00794F82"/>
    <w:rsid w:val="0079514C"/>
    <w:rsid w:val="007A0363"/>
    <w:rsid w:val="007A2584"/>
    <w:rsid w:val="007B41E8"/>
    <w:rsid w:val="007C57D9"/>
    <w:rsid w:val="007D3250"/>
    <w:rsid w:val="007D4827"/>
    <w:rsid w:val="007E4C26"/>
    <w:rsid w:val="007E57ED"/>
    <w:rsid w:val="007E5DDB"/>
    <w:rsid w:val="007E7C00"/>
    <w:rsid w:val="007F781A"/>
    <w:rsid w:val="00811BB4"/>
    <w:rsid w:val="0081533C"/>
    <w:rsid w:val="00820CD8"/>
    <w:rsid w:val="00830F70"/>
    <w:rsid w:val="00840B4D"/>
    <w:rsid w:val="0085439B"/>
    <w:rsid w:val="00866477"/>
    <w:rsid w:val="00885A1B"/>
    <w:rsid w:val="0089026B"/>
    <w:rsid w:val="008919FE"/>
    <w:rsid w:val="00891BF4"/>
    <w:rsid w:val="00895193"/>
    <w:rsid w:val="008A67A6"/>
    <w:rsid w:val="008A742A"/>
    <w:rsid w:val="008B05C3"/>
    <w:rsid w:val="008B4965"/>
    <w:rsid w:val="008C22CA"/>
    <w:rsid w:val="008D1ABD"/>
    <w:rsid w:val="008E4963"/>
    <w:rsid w:val="008E4FBF"/>
    <w:rsid w:val="008E53C6"/>
    <w:rsid w:val="008E76EB"/>
    <w:rsid w:val="008F1947"/>
    <w:rsid w:val="008F4D84"/>
    <w:rsid w:val="008F70D1"/>
    <w:rsid w:val="0090137A"/>
    <w:rsid w:val="00902897"/>
    <w:rsid w:val="00902AB2"/>
    <w:rsid w:val="00907245"/>
    <w:rsid w:val="00910E42"/>
    <w:rsid w:val="0091171B"/>
    <w:rsid w:val="009174BB"/>
    <w:rsid w:val="009264A2"/>
    <w:rsid w:val="00932F46"/>
    <w:rsid w:val="009352D4"/>
    <w:rsid w:val="00936068"/>
    <w:rsid w:val="009517CC"/>
    <w:rsid w:val="009615D4"/>
    <w:rsid w:val="0096194D"/>
    <w:rsid w:val="00967564"/>
    <w:rsid w:val="00974677"/>
    <w:rsid w:val="009827C2"/>
    <w:rsid w:val="0098732B"/>
    <w:rsid w:val="00991779"/>
    <w:rsid w:val="009960CB"/>
    <w:rsid w:val="009A2F17"/>
    <w:rsid w:val="009A4DAB"/>
    <w:rsid w:val="009B1502"/>
    <w:rsid w:val="009B27A9"/>
    <w:rsid w:val="009B3BF2"/>
    <w:rsid w:val="009B3C30"/>
    <w:rsid w:val="009B56A0"/>
    <w:rsid w:val="009B7F34"/>
    <w:rsid w:val="009C006B"/>
    <w:rsid w:val="009C01F4"/>
    <w:rsid w:val="009C5432"/>
    <w:rsid w:val="009C748E"/>
    <w:rsid w:val="009D0291"/>
    <w:rsid w:val="009D24F5"/>
    <w:rsid w:val="009D4F2D"/>
    <w:rsid w:val="009E1B2E"/>
    <w:rsid w:val="009F1343"/>
    <w:rsid w:val="009F6DF4"/>
    <w:rsid w:val="00A027CE"/>
    <w:rsid w:val="00A10F88"/>
    <w:rsid w:val="00A13664"/>
    <w:rsid w:val="00A16173"/>
    <w:rsid w:val="00A24EF4"/>
    <w:rsid w:val="00A27FD6"/>
    <w:rsid w:val="00A33747"/>
    <w:rsid w:val="00A34AD6"/>
    <w:rsid w:val="00A5407C"/>
    <w:rsid w:val="00A54C0A"/>
    <w:rsid w:val="00A570A5"/>
    <w:rsid w:val="00A57BEA"/>
    <w:rsid w:val="00A66161"/>
    <w:rsid w:val="00A90151"/>
    <w:rsid w:val="00A9359B"/>
    <w:rsid w:val="00A94AFE"/>
    <w:rsid w:val="00AA163B"/>
    <w:rsid w:val="00AA1CFC"/>
    <w:rsid w:val="00AB5F12"/>
    <w:rsid w:val="00AC0558"/>
    <w:rsid w:val="00AE3E37"/>
    <w:rsid w:val="00AF17A8"/>
    <w:rsid w:val="00AF2097"/>
    <w:rsid w:val="00B153EB"/>
    <w:rsid w:val="00B23603"/>
    <w:rsid w:val="00B251A4"/>
    <w:rsid w:val="00B255CB"/>
    <w:rsid w:val="00B3282A"/>
    <w:rsid w:val="00B32D6C"/>
    <w:rsid w:val="00B3749D"/>
    <w:rsid w:val="00B41EB8"/>
    <w:rsid w:val="00B60AD0"/>
    <w:rsid w:val="00B6283A"/>
    <w:rsid w:val="00B65DAA"/>
    <w:rsid w:val="00B66B2F"/>
    <w:rsid w:val="00B72DAD"/>
    <w:rsid w:val="00B74F7F"/>
    <w:rsid w:val="00B75B08"/>
    <w:rsid w:val="00B87859"/>
    <w:rsid w:val="00B91D47"/>
    <w:rsid w:val="00B93440"/>
    <w:rsid w:val="00BA07C0"/>
    <w:rsid w:val="00BA3CB8"/>
    <w:rsid w:val="00BA7623"/>
    <w:rsid w:val="00BB2F1A"/>
    <w:rsid w:val="00BC398F"/>
    <w:rsid w:val="00BD0A92"/>
    <w:rsid w:val="00BD1BCE"/>
    <w:rsid w:val="00BD2D27"/>
    <w:rsid w:val="00BE1322"/>
    <w:rsid w:val="00BF3493"/>
    <w:rsid w:val="00BF68C8"/>
    <w:rsid w:val="00C0109A"/>
    <w:rsid w:val="00C01E68"/>
    <w:rsid w:val="00C04C28"/>
    <w:rsid w:val="00C11924"/>
    <w:rsid w:val="00C14146"/>
    <w:rsid w:val="00C1443F"/>
    <w:rsid w:val="00C326F9"/>
    <w:rsid w:val="00C33E72"/>
    <w:rsid w:val="00C37A29"/>
    <w:rsid w:val="00C41DED"/>
    <w:rsid w:val="00C55C51"/>
    <w:rsid w:val="00C56FA6"/>
    <w:rsid w:val="00C6371A"/>
    <w:rsid w:val="00C70EFC"/>
    <w:rsid w:val="00C82226"/>
    <w:rsid w:val="00C932F3"/>
    <w:rsid w:val="00C95E3F"/>
    <w:rsid w:val="00CC14A8"/>
    <w:rsid w:val="00CC5AF1"/>
    <w:rsid w:val="00CD0CEE"/>
    <w:rsid w:val="00CD3027"/>
    <w:rsid w:val="00CD42AE"/>
    <w:rsid w:val="00CD61EB"/>
    <w:rsid w:val="00CE1F67"/>
    <w:rsid w:val="00CF02F0"/>
    <w:rsid w:val="00CF6485"/>
    <w:rsid w:val="00CF65F0"/>
    <w:rsid w:val="00CF6FF9"/>
    <w:rsid w:val="00D04339"/>
    <w:rsid w:val="00D15B30"/>
    <w:rsid w:val="00D16F74"/>
    <w:rsid w:val="00D3051F"/>
    <w:rsid w:val="00D30D61"/>
    <w:rsid w:val="00D44099"/>
    <w:rsid w:val="00D567C3"/>
    <w:rsid w:val="00D57926"/>
    <w:rsid w:val="00D60649"/>
    <w:rsid w:val="00D60C07"/>
    <w:rsid w:val="00D61E88"/>
    <w:rsid w:val="00D71528"/>
    <w:rsid w:val="00D71DB5"/>
    <w:rsid w:val="00D82889"/>
    <w:rsid w:val="00D836C0"/>
    <w:rsid w:val="00D83923"/>
    <w:rsid w:val="00D938C6"/>
    <w:rsid w:val="00D9419D"/>
    <w:rsid w:val="00DA4D1B"/>
    <w:rsid w:val="00DB40C3"/>
    <w:rsid w:val="00DF4C70"/>
    <w:rsid w:val="00DF4E3E"/>
    <w:rsid w:val="00E0453D"/>
    <w:rsid w:val="00E05FA6"/>
    <w:rsid w:val="00E133F5"/>
    <w:rsid w:val="00E16AF5"/>
    <w:rsid w:val="00E17D2E"/>
    <w:rsid w:val="00E24208"/>
    <w:rsid w:val="00E25474"/>
    <w:rsid w:val="00E32F93"/>
    <w:rsid w:val="00E33965"/>
    <w:rsid w:val="00E42E3C"/>
    <w:rsid w:val="00E47224"/>
    <w:rsid w:val="00E47FB6"/>
    <w:rsid w:val="00E54B2B"/>
    <w:rsid w:val="00E80F52"/>
    <w:rsid w:val="00E93188"/>
    <w:rsid w:val="00EA1943"/>
    <w:rsid w:val="00EB60F3"/>
    <w:rsid w:val="00EC7A0E"/>
    <w:rsid w:val="00ED60E8"/>
    <w:rsid w:val="00EE6F14"/>
    <w:rsid w:val="00EF3F23"/>
    <w:rsid w:val="00EF4060"/>
    <w:rsid w:val="00F14335"/>
    <w:rsid w:val="00F16030"/>
    <w:rsid w:val="00F162D4"/>
    <w:rsid w:val="00F25FF4"/>
    <w:rsid w:val="00F4010B"/>
    <w:rsid w:val="00F459F3"/>
    <w:rsid w:val="00F4702C"/>
    <w:rsid w:val="00F505B8"/>
    <w:rsid w:val="00F53397"/>
    <w:rsid w:val="00F548F2"/>
    <w:rsid w:val="00F5715A"/>
    <w:rsid w:val="00F634F6"/>
    <w:rsid w:val="00F64292"/>
    <w:rsid w:val="00F64343"/>
    <w:rsid w:val="00F80C5B"/>
    <w:rsid w:val="00F8331E"/>
    <w:rsid w:val="00F838F7"/>
    <w:rsid w:val="00F863F7"/>
    <w:rsid w:val="00F87066"/>
    <w:rsid w:val="00F87B07"/>
    <w:rsid w:val="00F90745"/>
    <w:rsid w:val="00F93598"/>
    <w:rsid w:val="00F94087"/>
    <w:rsid w:val="00F94880"/>
    <w:rsid w:val="00FA0572"/>
    <w:rsid w:val="00FB0D65"/>
    <w:rsid w:val="00FB4A9F"/>
    <w:rsid w:val="00FC0565"/>
    <w:rsid w:val="00FC2D8B"/>
    <w:rsid w:val="00FD0FBF"/>
    <w:rsid w:val="00FD3306"/>
    <w:rsid w:val="00FE22FF"/>
    <w:rsid w:val="00FE57D8"/>
    <w:rsid w:val="00FE6AED"/>
    <w:rsid w:val="00FE714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B8C6C"/>
  <w15:chartTrackingRefBased/>
  <w15:docId w15:val="{BE95F218-81AD-496A-A7B5-7166BBF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link w:val="ListBulletChar"/>
    <w:uiPriority w:val="99"/>
    <w:unhideWhenUsed/>
    <w:qFormat/>
    <w:rsid w:val="009B3C30"/>
    <w:pPr>
      <w:numPr>
        <w:numId w:val="8"/>
      </w:numPr>
      <w:contextualSpacing/>
    </w:pPr>
  </w:style>
  <w:style w:type="paragraph" w:styleId="ListBullet2">
    <w:name w:val="List Bullet 2"/>
    <w:basedOn w:val="Normal"/>
    <w:uiPriority w:val="99"/>
    <w:unhideWhenUsed/>
    <w:qFormat/>
    <w:rsid w:val="009B3C30"/>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aliases w:val="HV-List Bullet 3"/>
    <w:basedOn w:val="Normal"/>
    <w:uiPriority w:val="99"/>
    <w:unhideWhenUsed/>
    <w:rsid w:val="005237F0"/>
    <w:pPr>
      <w:numPr>
        <w:ilvl w:val="2"/>
        <w:numId w:val="8"/>
      </w:numPr>
      <w:contextualSpacing/>
    </w:pPr>
    <w:rPr>
      <w:sz w:val="24"/>
    </w:r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10"/>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11"/>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FA0572"/>
    <w:pPr>
      <w:spacing w:after="0" w:line="240" w:lineRule="auto"/>
      <w:jc w:val="right"/>
    </w:pPr>
    <w:tblPr>
      <w:tblBorders>
        <w:top w:val="single" w:sz="24" w:space="0" w:color="004C96"/>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8"/>
      </w:numPr>
      <w:contextualSpacing/>
    </w:pPr>
  </w:style>
  <w:style w:type="paragraph" w:customStyle="1" w:styleId="Heading1-Numbered0">
    <w:name w:val="Heading 1 - Numbered"/>
    <w:basedOn w:val="Heading1"/>
    <w:next w:val="Normal"/>
    <w:link w:val="Heading1-NumberedChar0"/>
    <w:uiPriority w:val="9"/>
    <w:qFormat/>
    <w:rsid w:val="00271BE0"/>
    <w:pPr>
      <w:ind w:left="340" w:hanging="340"/>
      <w:contextualSpacing/>
    </w:pPr>
  </w:style>
  <w:style w:type="paragraph" w:customStyle="1" w:styleId="Heading2-Numbered0">
    <w:name w:val="Heading 2 - Numbered"/>
    <w:basedOn w:val="Heading2"/>
    <w:next w:val="Normal"/>
    <w:link w:val="Heading2-NumberedChar0"/>
    <w:uiPriority w:val="9"/>
    <w:qFormat/>
    <w:rsid w:val="00271BE0"/>
    <w:pPr>
      <w:ind w:left="680" w:hanging="680"/>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1021" w:hanging="1021"/>
    </w:pPr>
  </w:style>
  <w:style w:type="paragraph" w:customStyle="1" w:styleId="Heading4-Numbered">
    <w:name w:val="Heading 4 - Numbered"/>
    <w:basedOn w:val="Heading4"/>
    <w:link w:val="Heading4-NumberedChar"/>
    <w:uiPriority w:val="9"/>
    <w:qFormat/>
    <w:rsid w:val="001F37B8"/>
    <w:pPr>
      <w:keepNext w:val="0"/>
      <w:keepLines w:val="0"/>
      <w:spacing w:before="60"/>
      <w:ind w:left="1361" w:hanging="1361"/>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styleId="CommentReference">
    <w:name w:val="annotation reference"/>
    <w:basedOn w:val="DefaultParagraphFont"/>
    <w:uiPriority w:val="99"/>
    <w:semiHidden/>
    <w:unhideWhenUsed/>
    <w:rsid w:val="00561527"/>
    <w:rPr>
      <w:sz w:val="16"/>
      <w:szCs w:val="16"/>
    </w:rPr>
  </w:style>
  <w:style w:type="paragraph" w:styleId="CommentText">
    <w:name w:val="annotation text"/>
    <w:basedOn w:val="Normal"/>
    <w:link w:val="CommentTextChar"/>
    <w:uiPriority w:val="99"/>
    <w:unhideWhenUsed/>
    <w:rsid w:val="00561527"/>
    <w:rPr>
      <w:szCs w:val="20"/>
    </w:rPr>
  </w:style>
  <w:style w:type="character" w:customStyle="1" w:styleId="CommentTextChar">
    <w:name w:val="Comment Text Char"/>
    <w:basedOn w:val="DefaultParagraphFont"/>
    <w:link w:val="CommentText"/>
    <w:uiPriority w:val="99"/>
    <w:rsid w:val="00561527"/>
    <w:rPr>
      <w:sz w:val="20"/>
      <w:szCs w:val="20"/>
    </w:rPr>
  </w:style>
  <w:style w:type="paragraph" w:styleId="CommentSubject">
    <w:name w:val="annotation subject"/>
    <w:basedOn w:val="CommentText"/>
    <w:next w:val="CommentText"/>
    <w:link w:val="CommentSubjectChar"/>
    <w:uiPriority w:val="99"/>
    <w:semiHidden/>
    <w:unhideWhenUsed/>
    <w:rsid w:val="00561527"/>
    <w:rPr>
      <w:b/>
      <w:bCs/>
    </w:rPr>
  </w:style>
  <w:style w:type="character" w:customStyle="1" w:styleId="CommentSubjectChar">
    <w:name w:val="Comment Subject Char"/>
    <w:basedOn w:val="CommentTextChar"/>
    <w:link w:val="CommentSubject"/>
    <w:uiPriority w:val="99"/>
    <w:semiHidden/>
    <w:rsid w:val="00561527"/>
    <w:rPr>
      <w:b/>
      <w:bCs/>
      <w:sz w:val="20"/>
      <w:szCs w:val="20"/>
    </w:rPr>
  </w:style>
  <w:style w:type="character" w:styleId="UnresolvedMention">
    <w:name w:val="Unresolved Mention"/>
    <w:basedOn w:val="DefaultParagraphFont"/>
    <w:uiPriority w:val="99"/>
    <w:semiHidden/>
    <w:unhideWhenUsed/>
    <w:rsid w:val="000A46D5"/>
    <w:rPr>
      <w:color w:val="605E5C"/>
      <w:shd w:val="clear" w:color="auto" w:fill="E1DFDD"/>
    </w:rPr>
  </w:style>
  <w:style w:type="character" w:customStyle="1" w:styleId="wacimagecontainer">
    <w:name w:val="wacimagecontainer"/>
    <w:basedOn w:val="DefaultParagraphFont"/>
    <w:rsid w:val="009A4DAB"/>
  </w:style>
  <w:style w:type="paragraph" w:customStyle="1" w:styleId="HV-H1">
    <w:name w:val="HV-H1"/>
    <w:basedOn w:val="Heading1"/>
    <w:link w:val="HV-H1Char"/>
    <w:qFormat/>
    <w:rsid w:val="00294BFE"/>
    <w:rPr>
      <w:color w:val="000000"/>
      <w:sz w:val="44"/>
    </w:rPr>
  </w:style>
  <w:style w:type="character" w:customStyle="1" w:styleId="HV-H1Char">
    <w:name w:val="HV-H1 Char"/>
    <w:basedOn w:val="Heading1Char"/>
    <w:link w:val="HV-H1"/>
    <w:rsid w:val="00294BFE"/>
    <w:rPr>
      <w:rFonts w:asciiTheme="majorHAnsi" w:eastAsiaTheme="majorEastAsia" w:hAnsiTheme="majorHAnsi" w:cstheme="majorBidi"/>
      <w:b/>
      <w:color w:val="000000"/>
      <w:sz w:val="44"/>
      <w:szCs w:val="32"/>
    </w:rPr>
  </w:style>
  <w:style w:type="paragraph" w:customStyle="1" w:styleId="HV-H2">
    <w:name w:val="HV-H2"/>
    <w:basedOn w:val="Heading1"/>
    <w:link w:val="HV-H2Char"/>
    <w:qFormat/>
    <w:rsid w:val="00D836C0"/>
    <w:rPr>
      <w:color w:val="auto"/>
      <w:sz w:val="32"/>
    </w:rPr>
  </w:style>
  <w:style w:type="character" w:customStyle="1" w:styleId="HV-H2Char">
    <w:name w:val="HV-H2 Char"/>
    <w:basedOn w:val="Heading1Char"/>
    <w:link w:val="HV-H2"/>
    <w:rsid w:val="00D836C0"/>
    <w:rPr>
      <w:rFonts w:asciiTheme="majorHAnsi" w:eastAsiaTheme="majorEastAsia" w:hAnsiTheme="majorHAnsi" w:cstheme="majorBidi"/>
      <w:b/>
      <w:color w:val="53565A" w:themeColor="accent6"/>
      <w:sz w:val="32"/>
      <w:szCs w:val="32"/>
    </w:rPr>
  </w:style>
  <w:style w:type="paragraph" w:customStyle="1" w:styleId="HV-normal">
    <w:name w:val="HV-normal"/>
    <w:basedOn w:val="Normal"/>
    <w:link w:val="HV-normalChar"/>
    <w:qFormat/>
    <w:rsid w:val="00907245"/>
    <w:pPr>
      <w:spacing w:before="120"/>
    </w:pPr>
    <w:rPr>
      <w:sz w:val="24"/>
      <w:szCs w:val="24"/>
    </w:rPr>
  </w:style>
  <w:style w:type="character" w:customStyle="1" w:styleId="HV-normalChar">
    <w:name w:val="HV-normal Char"/>
    <w:basedOn w:val="DefaultParagraphFont"/>
    <w:link w:val="HV-normal"/>
    <w:rsid w:val="00907245"/>
    <w:rPr>
      <w:sz w:val="24"/>
      <w:szCs w:val="24"/>
    </w:rPr>
  </w:style>
  <w:style w:type="paragraph" w:customStyle="1" w:styleId="HV-H3">
    <w:name w:val="HV-H3"/>
    <w:basedOn w:val="Heading2"/>
    <w:link w:val="HV-H3Char"/>
    <w:qFormat/>
    <w:rsid w:val="00907245"/>
    <w:rPr>
      <w:sz w:val="28"/>
    </w:rPr>
  </w:style>
  <w:style w:type="character" w:customStyle="1" w:styleId="HV-H3Char">
    <w:name w:val="HV-H3 Char"/>
    <w:basedOn w:val="Heading2Char"/>
    <w:link w:val="HV-H3"/>
    <w:rsid w:val="00907245"/>
    <w:rPr>
      <w:rFonts w:asciiTheme="majorHAnsi" w:eastAsiaTheme="majorEastAsia" w:hAnsiTheme="majorHAnsi" w:cstheme="majorBidi"/>
      <w:b/>
      <w:sz w:val="28"/>
      <w:szCs w:val="26"/>
    </w:rPr>
  </w:style>
  <w:style w:type="paragraph" w:customStyle="1" w:styleId="HV-list">
    <w:name w:val="HV-list"/>
    <w:basedOn w:val="ListBullet"/>
    <w:link w:val="HV-listChar"/>
    <w:qFormat/>
    <w:rsid w:val="00C56FA6"/>
    <w:pPr>
      <w:tabs>
        <w:tab w:val="left" w:pos="284"/>
        <w:tab w:val="left" w:pos="567"/>
        <w:tab w:val="left" w:pos="851"/>
        <w:tab w:val="left" w:pos="1134"/>
      </w:tabs>
      <w:spacing w:before="60"/>
    </w:pPr>
    <w:rPr>
      <w:sz w:val="24"/>
    </w:rPr>
  </w:style>
  <w:style w:type="character" w:customStyle="1" w:styleId="ListBulletChar">
    <w:name w:val="List Bullet Char"/>
    <w:basedOn w:val="DefaultParagraphFont"/>
    <w:link w:val="ListBullet"/>
    <w:uiPriority w:val="99"/>
    <w:rsid w:val="00907245"/>
    <w:rPr>
      <w:sz w:val="20"/>
    </w:rPr>
  </w:style>
  <w:style w:type="character" w:customStyle="1" w:styleId="HV-listChar">
    <w:name w:val="HV-list Char"/>
    <w:basedOn w:val="ListBulletChar"/>
    <w:link w:val="HV-list"/>
    <w:rsid w:val="00C56FA6"/>
    <w:rPr>
      <w:sz w:val="24"/>
    </w:rPr>
  </w:style>
  <w:style w:type="numbering" w:customStyle="1" w:styleId="HV-sublist">
    <w:name w:val="HV-sublist"/>
    <w:basedOn w:val="Bullets"/>
    <w:uiPriority w:val="99"/>
    <w:rsid w:val="005237F0"/>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48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2e\Downloads\DTP_Document_A4%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4ADFBA3546444BB69416B30FA24187"/>
        <w:category>
          <w:name w:val="General"/>
          <w:gallery w:val="placeholder"/>
        </w:category>
        <w:types>
          <w:type w:val="bbPlcHdr"/>
        </w:types>
        <w:behaviors>
          <w:behavior w:val="content"/>
        </w:behaviors>
        <w:guid w:val="{D2ECD7F7-0AEE-4AD2-B0E4-2ED0EF429D49}"/>
      </w:docPartPr>
      <w:docPartBody>
        <w:p w:rsidR="00314BB8" w:rsidRDefault="00E41EBE" w:rsidP="00E41EBE">
          <w:pPr>
            <w:pStyle w:val="F24ADFBA3546444BB69416B30FA24187"/>
          </w:pPr>
          <w:r w:rsidRPr="00902AB2">
            <w:t>[Meeting Name or Title]</w:t>
          </w:r>
        </w:p>
      </w:docPartBody>
    </w:docPart>
    <w:docPart>
      <w:docPartPr>
        <w:name w:val="2594C32C6F054FA08353DB1D0B38B2C4"/>
        <w:category>
          <w:name w:val="General"/>
          <w:gallery w:val="placeholder"/>
        </w:category>
        <w:types>
          <w:type w:val="bbPlcHdr"/>
        </w:types>
        <w:behaviors>
          <w:behavior w:val="content"/>
        </w:behaviors>
        <w:guid w:val="{844E3507-3138-410D-8B24-451B436AA7F7}"/>
      </w:docPartPr>
      <w:docPartBody>
        <w:p w:rsidR="00314BB8" w:rsidRDefault="00E41EBE" w:rsidP="00E41EBE">
          <w:pPr>
            <w:pStyle w:val="2594C32C6F054FA08353DB1D0B38B2C4"/>
          </w:pPr>
          <w:r w:rsidRPr="00902AB2">
            <w:t>[Meeting Name or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BB8"/>
    <w:rsid w:val="00095F42"/>
    <w:rsid w:val="0014504F"/>
    <w:rsid w:val="001D316A"/>
    <w:rsid w:val="00314BB8"/>
    <w:rsid w:val="00477D4E"/>
    <w:rsid w:val="005F644C"/>
    <w:rsid w:val="006A4640"/>
    <w:rsid w:val="008500A5"/>
    <w:rsid w:val="00AC027A"/>
    <w:rsid w:val="00E41EBE"/>
    <w:rsid w:val="00FE5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4ADFBA3546444BB69416B30FA24187">
    <w:name w:val="F24ADFBA3546444BB69416B30FA24187"/>
    <w:rsid w:val="00E41EBE"/>
  </w:style>
  <w:style w:type="paragraph" w:customStyle="1" w:styleId="2594C32C6F054FA08353DB1D0B38B2C4">
    <w:name w:val="2594C32C6F054FA08353DB1D0B38B2C4"/>
    <w:rsid w:val="00E41E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DC7DE4D4B5494B9DA3F75E80036216" ma:contentTypeVersion="13" ma:contentTypeDescription="Create a new document." ma:contentTypeScope="" ma:versionID="c8add7b2132b02d137ab9c62fa6b37b3">
  <xsd:schema xmlns:xsd="http://www.w3.org/2001/XMLSchema" xmlns:xs="http://www.w3.org/2001/XMLSchema" xmlns:p="http://schemas.microsoft.com/office/2006/metadata/properties" xmlns:ns2="8d7c4a74-92cd-4809-b8e2-4296b6c55ca5" xmlns:ns3="d326f73d-938b-45bf-9865-23662e342a27" targetNamespace="http://schemas.microsoft.com/office/2006/metadata/properties" ma:root="true" ma:fieldsID="d4878880a16ed547ea2d7ccb81e1e9fc" ns2:_="" ns3:_="">
    <xsd:import namespace="8d7c4a74-92cd-4809-b8e2-4296b6c55ca5"/>
    <xsd:import namespace="d326f73d-938b-45bf-9865-23662e342a2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c4a74-92cd-4809-b8e2-4296b6c55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6f73d-938b-45bf-9865-23662e342a2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bf9c1b-a0ff-4d7b-b547-3aefee41a01c}" ma:internalName="TaxCatchAll" ma:showField="CatchAllData" ma:web="d326f73d-938b-45bf-9865-23662e342a2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26f73d-938b-45bf-9865-23662e342a27" xsi:nil="true"/>
    <lcf76f155ced4ddcb4097134ff3c332f xmlns="8d7c4a74-92cd-4809-b8e2-4296b6c55c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C4A3E7-6124-421C-BD10-729D13F86D3A}">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0C1C79FA-5E0C-4193-B1A8-E3AE4B998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c4a74-92cd-4809-b8e2-4296b6c55ca5"/>
    <ds:schemaRef ds:uri="d326f73d-938b-45bf-9865-23662e34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D1FBF4-259D-42E9-BE04-B4742E28C755}">
  <ds:schemaRefs>
    <ds:schemaRef ds:uri="http://schemas.microsoft.com/office/2006/metadata/properties"/>
    <ds:schemaRef ds:uri="http://schemas.microsoft.com/office/infopath/2007/PartnerControls"/>
    <ds:schemaRef ds:uri="d326f73d-938b-45bf-9865-23662e342a27"/>
    <ds:schemaRef ds:uri="8d7c4a74-92cd-4809-b8e2-4296b6c55ca5"/>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DTP_Document_A4 (1).dotx</Template>
  <TotalTime>15</TotalTime>
  <Pages>4</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Technical note 2 - 2024</dc:subject>
  <dc:creator>Kate Bradley (DELWP)</dc:creator>
  <cp:keywords/>
  <dc:description/>
  <cp:lastModifiedBy>Joanna Lyngcoln (DTP)</cp:lastModifiedBy>
  <cp:revision>13</cp:revision>
  <cp:lastPrinted>2022-12-28T03:22:00Z</cp:lastPrinted>
  <dcterms:created xsi:type="dcterms:W3CDTF">2024-05-13T01:01:00Z</dcterms:created>
  <dcterms:modified xsi:type="dcterms:W3CDTF">2024-06-07T04:03:00Z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0x010100DFDC7DE4D4B5494B9DA3F75E80036216</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2024-02-13T21:28:58Z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91820519-be39-425b-a96f-ca69895146d3</vt:lpwstr>
  </property>
  <property fmtid="{D5CDD505-2E9C-101B-9397-08002B2CF9AE}" pid="10" name="MSIP_Label_4257e2ab-f512-40e2-9c9a-c64247360765_ContentBits">
    <vt:lpwstr>2</vt:lpwstr>
  </property>
</Properties>
</file>